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firstLine="420"/>
        <w:rPr>
          <w:rFonts w:ascii="Times New Roman" w:hAnsi="Times New Roman"/>
        </w:rPr>
      </w:pPr>
    </w:p>
    <w:p>
      <w:pPr>
        <w:rPr>
          <w:rFonts w:ascii="Times New Roman" w:hAnsi="Times New Roman"/>
        </w:rPr>
      </w:pPr>
    </w:p>
    <w:p>
      <w:pPr>
        <w:pStyle w:val="2"/>
        <w:ind w:firstLine="420"/>
        <w:rPr>
          <w:rFonts w:ascii="Times New Roman" w:hAnsi="Times New Roman"/>
        </w:rPr>
      </w:pPr>
    </w:p>
    <w:p>
      <w:pPr>
        <w:spacing w:after="156" w:line="560" w:lineRule="exact"/>
        <w:jc w:val="center"/>
        <w:textAlignment w:val="baseline"/>
        <w:rPr>
          <w:rStyle w:val="11"/>
          <w:rFonts w:ascii="Times New Roman" w:hAnsi="Times New Roman" w:eastAsia="方正小标宋简体"/>
          <w:bCs/>
          <w:sz w:val="44"/>
          <w:szCs w:val="44"/>
        </w:rPr>
      </w:pPr>
      <w:r>
        <w:rPr>
          <w:rStyle w:val="11"/>
          <w:rFonts w:ascii="Times New Roman" w:hAnsi="Times New Roman" w:eastAsia="方正小标宋简体"/>
          <w:bCs/>
          <w:sz w:val="44"/>
          <w:szCs w:val="44"/>
        </w:rPr>
        <w:t>《</w:t>
      </w:r>
      <w:r>
        <w:rPr>
          <w:rStyle w:val="11"/>
          <w:rFonts w:hint="eastAsia" w:ascii="Times New Roman" w:hAnsi="Times New Roman" w:eastAsia="方正小标宋简体"/>
          <w:bCs/>
          <w:sz w:val="44"/>
          <w:szCs w:val="44"/>
        </w:rPr>
        <w:t>汉语国际教育硕士专业</w:t>
      </w:r>
      <w:r>
        <w:rPr>
          <w:rStyle w:val="11"/>
          <w:rFonts w:ascii="Times New Roman" w:hAnsi="Times New Roman" w:eastAsia="方正小标宋简体"/>
          <w:bCs/>
          <w:sz w:val="44"/>
          <w:szCs w:val="44"/>
        </w:rPr>
        <w:t>学位授权点建设</w:t>
      </w:r>
      <w:r>
        <w:rPr>
          <w:rStyle w:val="11"/>
          <w:rFonts w:hint="eastAsia" w:ascii="Times New Roman" w:hAnsi="Times New Roman" w:eastAsia="方正小标宋简体"/>
          <w:bCs/>
          <w:sz w:val="44"/>
          <w:szCs w:val="44"/>
        </w:rPr>
        <w:t>2022</w:t>
      </w:r>
      <w:r>
        <w:rPr>
          <w:rStyle w:val="11"/>
          <w:rFonts w:ascii="Times New Roman" w:hAnsi="Times New Roman" w:eastAsia="方正小标宋简体"/>
          <w:bCs/>
          <w:sz w:val="44"/>
          <w:szCs w:val="44"/>
        </w:rPr>
        <w:t>年度报告》</w:t>
      </w:r>
    </w:p>
    <w:p>
      <w:pPr>
        <w:spacing w:after="156" w:line="560" w:lineRule="exact"/>
        <w:jc w:val="center"/>
        <w:textAlignment w:val="baseline"/>
        <w:rPr>
          <w:rStyle w:val="11"/>
          <w:rFonts w:ascii="Times New Roman" w:hAnsi="Times New Roman" w:eastAsia="方正小标宋简体"/>
          <w:bCs/>
          <w:sz w:val="44"/>
          <w:szCs w:val="44"/>
        </w:rPr>
      </w:pPr>
    </w:p>
    <w:p>
      <w:pPr>
        <w:snapToGrid w:val="0"/>
        <w:jc w:val="center"/>
        <w:textAlignment w:val="baseline"/>
        <w:rPr>
          <w:rStyle w:val="11"/>
          <w:rFonts w:ascii="Times New Roman" w:hAnsi="Times New Roman" w:eastAsia="宋体"/>
          <w:b/>
          <w:sz w:val="48"/>
          <w:szCs w:val="20"/>
        </w:rPr>
      </w:pPr>
    </w:p>
    <w:p>
      <w:pPr>
        <w:pStyle w:val="2"/>
        <w:ind w:firstLine="964"/>
        <w:rPr>
          <w:rStyle w:val="11"/>
          <w:rFonts w:ascii="Times New Roman" w:hAnsi="Times New Roman" w:eastAsia="宋体"/>
          <w:b/>
          <w:sz w:val="48"/>
          <w:szCs w:val="20"/>
        </w:rPr>
      </w:pPr>
    </w:p>
    <w:p>
      <w:pPr>
        <w:rPr>
          <w:rFonts w:ascii="Times New Roman" w:hAnsi="Times New Roman"/>
        </w:rPr>
      </w:pPr>
    </w:p>
    <w:p>
      <w:pPr>
        <w:pStyle w:val="2"/>
        <w:ind w:firstLine="420"/>
        <w:rPr>
          <w:rFonts w:ascii="Times New Roman" w:hAnsi="Times New Roman"/>
        </w:rPr>
      </w:pPr>
    </w:p>
    <w:p>
      <w:pPr>
        <w:snapToGrid w:val="0"/>
        <w:spacing w:line="300" w:lineRule="auto"/>
        <w:jc w:val="center"/>
        <w:textAlignment w:val="baseline"/>
        <w:rPr>
          <w:rStyle w:val="11"/>
          <w:rFonts w:ascii="Times New Roman" w:hAnsi="Times New Roman" w:eastAsia="仿宋"/>
          <w:b/>
          <w:szCs w:val="32"/>
        </w:rPr>
      </w:pPr>
    </w:p>
    <w:tbl>
      <w:tblPr>
        <w:tblStyle w:val="8"/>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snapToGrid w:val="0"/>
              <w:spacing w:line="240" w:lineRule="atLeast"/>
              <w:jc w:val="center"/>
              <w:textAlignment w:val="baseline"/>
              <w:rPr>
                <w:rStyle w:val="11"/>
                <w:rFonts w:ascii="Times New Roman" w:hAnsi="Times New Roman" w:eastAsia="仿宋"/>
                <w:b/>
                <w:spacing w:val="-10"/>
                <w:szCs w:val="32"/>
              </w:rPr>
            </w:pPr>
            <w:r>
              <w:rPr>
                <w:rStyle w:val="11"/>
                <w:rFonts w:ascii="Times New Roman" w:hAnsi="Times New Roman" w:eastAsia="仿宋"/>
                <w:b/>
                <w:spacing w:val="-10"/>
                <w:szCs w:val="32"/>
              </w:rPr>
              <w:t>学位授予单位</w:t>
            </w:r>
          </w:p>
        </w:tc>
        <w:tc>
          <w:tcPr>
            <w:tcW w:w="3977" w:type="dxa"/>
            <w:tcBorders>
              <w:top w:val="nil"/>
              <w:left w:val="single" w:color="000000" w:sz="4" w:space="0"/>
              <w:bottom w:val="single" w:color="000000" w:sz="4" w:space="0"/>
              <w:right w:val="nil"/>
            </w:tcBorders>
            <w:vAlign w:val="center"/>
          </w:tcPr>
          <w:p>
            <w:pPr>
              <w:snapToGrid w:val="0"/>
              <w:spacing w:line="300" w:lineRule="auto"/>
              <w:textAlignment w:val="baseline"/>
              <w:rPr>
                <w:rStyle w:val="11"/>
                <w:rFonts w:ascii="Times New Roman" w:hAnsi="Times New Roman" w:eastAsia="仿宋"/>
                <w:b/>
                <w:spacing w:val="-10"/>
                <w:szCs w:val="32"/>
              </w:rPr>
            </w:pPr>
            <w:r>
              <w:rPr>
                <w:rStyle w:val="11"/>
                <w:rFonts w:ascii="Times New Roman" w:hAnsi="Times New Roman" w:eastAsia="仿宋"/>
                <w:b/>
                <w:spacing w:val="-10"/>
                <w:szCs w:val="32"/>
              </w:rPr>
              <w:t>名称：对外经济贸易大学</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single" w:color="000000" w:sz="4" w:space="0"/>
              <w:right w:val="single" w:color="000000" w:sz="4" w:space="0"/>
            </w:tcBorders>
            <w:vAlign w:val="center"/>
          </w:tcPr>
          <w:p>
            <w:pPr>
              <w:snapToGrid w:val="0"/>
              <w:spacing w:line="300" w:lineRule="auto"/>
              <w:jc w:val="center"/>
              <w:textAlignment w:val="baseline"/>
              <w:rPr>
                <w:rStyle w:val="11"/>
                <w:rFonts w:ascii="Times New Roman" w:hAnsi="Times New Roman" w:eastAsia="仿宋"/>
                <w:b/>
                <w:spacing w:val="-10"/>
                <w:szCs w:val="32"/>
              </w:rPr>
            </w:pPr>
          </w:p>
        </w:tc>
        <w:tc>
          <w:tcPr>
            <w:tcW w:w="3977" w:type="dxa"/>
            <w:tcBorders>
              <w:top w:val="single" w:color="000000" w:sz="4" w:space="0"/>
              <w:left w:val="single" w:color="000000" w:sz="4" w:space="0"/>
              <w:bottom w:val="single" w:color="000000" w:sz="4" w:space="0"/>
              <w:right w:val="nil"/>
            </w:tcBorders>
            <w:vAlign w:val="center"/>
          </w:tcPr>
          <w:p>
            <w:pPr>
              <w:snapToGrid w:val="0"/>
              <w:spacing w:line="300" w:lineRule="auto"/>
              <w:textAlignment w:val="baseline"/>
              <w:rPr>
                <w:rStyle w:val="11"/>
                <w:rFonts w:ascii="Times New Roman" w:hAnsi="Times New Roman" w:eastAsia="仿宋"/>
                <w:b/>
                <w:spacing w:val="-10"/>
                <w:szCs w:val="32"/>
              </w:rPr>
            </w:pPr>
            <w:r>
              <w:rPr>
                <w:rStyle w:val="11"/>
                <w:rFonts w:ascii="Times New Roman" w:hAnsi="Times New Roman" w:eastAsia="仿宋"/>
                <w:b/>
                <w:spacing w:val="-10"/>
                <w:szCs w:val="32"/>
              </w:rPr>
              <w:t>代码：10036</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single" w:color="000000" w:sz="4" w:space="0"/>
              <w:left w:val="nil"/>
              <w:right w:val="single" w:color="000000" w:sz="4" w:space="0"/>
            </w:tcBorders>
            <w:vAlign w:val="center"/>
          </w:tcPr>
          <w:p>
            <w:pPr>
              <w:snapToGrid w:val="0"/>
              <w:spacing w:line="300" w:lineRule="auto"/>
              <w:jc w:val="center"/>
              <w:textAlignment w:val="baseline"/>
              <w:rPr>
                <w:rStyle w:val="11"/>
                <w:rFonts w:ascii="Times New Roman" w:hAnsi="Times New Roman" w:eastAsia="仿宋"/>
                <w:b/>
                <w:spacing w:val="-10"/>
                <w:szCs w:val="32"/>
              </w:rPr>
            </w:pPr>
            <w:r>
              <w:rPr>
                <w:rStyle w:val="11"/>
                <w:rFonts w:ascii="Times New Roman" w:hAnsi="Times New Roman" w:eastAsia="仿宋"/>
                <w:b/>
                <w:spacing w:val="-10"/>
                <w:szCs w:val="32"/>
              </w:rPr>
              <w:t>授权学科</w:t>
            </w:r>
            <w:r>
              <w:rPr>
                <w:rStyle w:val="11"/>
                <w:rFonts w:hint="eastAsia" w:ascii="Times New Roman" w:hAnsi="Times New Roman" w:eastAsia="仿宋"/>
                <w:b/>
                <w:spacing w:val="-10"/>
                <w:szCs w:val="32"/>
              </w:rPr>
              <w:t>/专业学位</w:t>
            </w:r>
          </w:p>
        </w:tc>
        <w:tc>
          <w:tcPr>
            <w:tcW w:w="3977" w:type="dxa"/>
            <w:tcBorders>
              <w:top w:val="single" w:color="000000" w:sz="4" w:space="0"/>
              <w:left w:val="single" w:color="000000" w:sz="4" w:space="0"/>
              <w:bottom w:val="single" w:color="000000" w:sz="4" w:space="0"/>
              <w:right w:val="nil"/>
            </w:tcBorders>
            <w:vAlign w:val="center"/>
          </w:tcPr>
          <w:p>
            <w:pPr>
              <w:snapToGrid w:val="0"/>
              <w:spacing w:line="300" w:lineRule="auto"/>
              <w:textAlignment w:val="baseline"/>
              <w:rPr>
                <w:rStyle w:val="11"/>
                <w:rFonts w:ascii="Times New Roman" w:hAnsi="Times New Roman" w:eastAsia="仿宋"/>
                <w:b/>
                <w:spacing w:val="-10"/>
                <w:szCs w:val="32"/>
              </w:rPr>
            </w:pPr>
            <w:r>
              <w:rPr>
                <w:rStyle w:val="11"/>
                <w:rFonts w:ascii="Times New Roman" w:hAnsi="Times New Roman" w:eastAsia="仿宋"/>
                <w:b/>
                <w:spacing w:val="-10"/>
                <w:szCs w:val="32"/>
              </w:rPr>
              <w:t>名称：</w:t>
            </w:r>
            <w:r>
              <w:rPr>
                <w:rStyle w:val="11"/>
                <w:rFonts w:hint="eastAsia" w:ascii="Times New Roman" w:hAnsi="Times New Roman" w:eastAsia="仿宋"/>
                <w:b/>
                <w:spacing w:val="-10"/>
                <w:szCs w:val="32"/>
              </w:rPr>
              <w:t>汉语国际教育硕士</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right w:val="single" w:color="000000" w:sz="4" w:space="0"/>
            </w:tcBorders>
            <w:vAlign w:val="center"/>
          </w:tcPr>
          <w:p>
            <w:pPr>
              <w:snapToGrid w:val="0"/>
              <w:spacing w:line="300" w:lineRule="auto"/>
              <w:jc w:val="center"/>
              <w:textAlignment w:val="baseline"/>
              <w:rPr>
                <w:rStyle w:val="11"/>
                <w:rFonts w:ascii="Times New Roman" w:hAnsi="Times New Roman" w:eastAsia="仿宋"/>
                <w:b/>
                <w:spacing w:val="-10"/>
                <w:szCs w:val="32"/>
              </w:rPr>
            </w:pPr>
          </w:p>
        </w:tc>
        <w:tc>
          <w:tcPr>
            <w:tcW w:w="3977" w:type="dxa"/>
            <w:tcBorders>
              <w:top w:val="single" w:color="000000" w:sz="4" w:space="0"/>
              <w:left w:val="single" w:color="000000" w:sz="4" w:space="0"/>
              <w:bottom w:val="single" w:color="000000" w:sz="4" w:space="0"/>
              <w:right w:val="nil"/>
            </w:tcBorders>
            <w:vAlign w:val="center"/>
          </w:tcPr>
          <w:p>
            <w:pPr>
              <w:snapToGrid w:val="0"/>
              <w:spacing w:line="300" w:lineRule="auto"/>
              <w:textAlignment w:val="baseline"/>
              <w:rPr>
                <w:rStyle w:val="11"/>
                <w:rFonts w:ascii="Times New Roman" w:hAnsi="Times New Roman" w:eastAsia="仿宋"/>
                <w:b/>
                <w:spacing w:val="-10"/>
                <w:szCs w:val="32"/>
              </w:rPr>
            </w:pPr>
            <w:r>
              <w:rPr>
                <w:rStyle w:val="11"/>
                <w:rFonts w:ascii="Times New Roman" w:hAnsi="Times New Roman" w:eastAsia="仿宋"/>
                <w:b/>
                <w:spacing w:val="-10"/>
                <w:szCs w:val="32"/>
              </w:rPr>
              <w:t>代码：</w:t>
            </w:r>
            <w:r>
              <w:rPr>
                <w:rStyle w:val="11"/>
                <w:rFonts w:hint="eastAsia" w:ascii="Times New Roman" w:hAnsi="Times New Roman" w:eastAsia="仿宋"/>
                <w:b/>
                <w:spacing w:val="-10"/>
                <w:szCs w:val="32"/>
              </w:rPr>
              <w:t>045300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bottom w:val="nil"/>
              <w:right w:val="single" w:color="000000" w:sz="4" w:space="0"/>
            </w:tcBorders>
            <w:vAlign w:val="center"/>
          </w:tcPr>
          <w:p>
            <w:pPr>
              <w:snapToGrid w:val="0"/>
              <w:spacing w:line="300" w:lineRule="auto"/>
              <w:jc w:val="center"/>
              <w:textAlignment w:val="baseline"/>
              <w:rPr>
                <w:rStyle w:val="11"/>
                <w:rFonts w:ascii="Times New Roman" w:hAnsi="Times New Roman" w:eastAsia="仿宋"/>
                <w:b/>
                <w:spacing w:val="-10"/>
                <w:szCs w:val="32"/>
              </w:rPr>
            </w:pPr>
          </w:p>
        </w:tc>
        <w:tc>
          <w:tcPr>
            <w:tcW w:w="3977" w:type="dxa"/>
            <w:tcBorders>
              <w:top w:val="single" w:color="000000" w:sz="4" w:space="0"/>
              <w:left w:val="single" w:color="000000" w:sz="4" w:space="0"/>
              <w:bottom w:val="nil"/>
              <w:right w:val="nil"/>
            </w:tcBorders>
            <w:vAlign w:val="center"/>
          </w:tcPr>
          <w:p>
            <w:pPr>
              <w:snapToGrid w:val="0"/>
              <w:spacing w:line="300" w:lineRule="auto"/>
              <w:textAlignment w:val="baseline"/>
              <w:rPr>
                <w:rStyle w:val="11"/>
                <w:rFonts w:ascii="Times New Roman" w:hAnsi="Times New Roman" w:eastAsia="仿宋"/>
                <w:b/>
                <w:spacing w:val="-10"/>
                <w:szCs w:val="32"/>
              </w:rPr>
            </w:pPr>
            <w:r>
              <w:rPr>
                <w:rStyle w:val="11"/>
                <w:rFonts w:ascii="Times New Roman" w:hAnsi="Times New Roman" w:eastAsia="仿宋"/>
                <w:b/>
                <w:spacing w:val="-10"/>
                <w:szCs w:val="32"/>
              </w:rPr>
              <w:t>类别：</w:t>
            </w:r>
            <w:r>
              <w:rPr>
                <w:rStyle w:val="11"/>
                <w:rFonts w:ascii="Times New Roman" w:hAnsi="Times New Roman" w:eastAsia="仿宋"/>
                <w:b/>
                <w:spacing w:val="-10"/>
                <w:szCs w:val="32"/>
              </w:rPr>
              <w:sym w:font="Wingdings 2" w:char="00A3"/>
            </w:r>
            <w:r>
              <w:rPr>
                <w:rStyle w:val="11"/>
                <w:rFonts w:ascii="Times New Roman" w:hAnsi="Times New Roman" w:eastAsia="仿宋"/>
                <w:b/>
                <w:spacing w:val="-10"/>
                <w:szCs w:val="32"/>
              </w:rPr>
              <w:t>博士</w:t>
            </w:r>
            <w:r>
              <w:rPr>
                <w:rStyle w:val="11"/>
                <w:rFonts w:hint="eastAsia" w:ascii="仿宋" w:hAnsi="仿宋" w:eastAsia="仿宋"/>
                <w:b/>
                <w:spacing w:val="-10"/>
                <w:szCs w:val="32"/>
              </w:rPr>
              <w:t>√</w:t>
            </w:r>
            <w:r>
              <w:rPr>
                <w:rStyle w:val="11"/>
                <w:rFonts w:ascii="Times New Roman" w:hAnsi="Times New Roman" w:eastAsia="仿宋"/>
                <w:b/>
                <w:spacing w:val="-10"/>
                <w:szCs w:val="32"/>
              </w:rPr>
              <w:t>硕士</w:t>
            </w:r>
          </w:p>
        </w:tc>
      </w:tr>
    </w:tbl>
    <w:p>
      <w:pPr>
        <w:snapToGrid w:val="0"/>
        <w:spacing w:line="300" w:lineRule="auto"/>
        <w:jc w:val="center"/>
        <w:textAlignment w:val="baseline"/>
        <w:rPr>
          <w:rStyle w:val="11"/>
          <w:rFonts w:ascii="Times New Roman" w:hAnsi="Times New Roman" w:eastAsia="宋体"/>
          <w:b/>
          <w:sz w:val="48"/>
          <w:szCs w:val="20"/>
        </w:rPr>
      </w:pPr>
    </w:p>
    <w:p>
      <w:pPr>
        <w:rPr>
          <w:rFonts w:ascii="Times New Roman" w:hAnsi="Times New Roman"/>
        </w:rPr>
      </w:pPr>
    </w:p>
    <w:p>
      <w:pPr>
        <w:pStyle w:val="2"/>
        <w:ind w:firstLine="420"/>
        <w:rPr>
          <w:rFonts w:ascii="Times New Roman" w:hAnsi="Times New Roman"/>
        </w:rPr>
      </w:pPr>
    </w:p>
    <w:p>
      <w:pPr>
        <w:rPr>
          <w:rFonts w:ascii="Times New Roman" w:hAnsi="Times New Roman"/>
        </w:rPr>
      </w:pPr>
    </w:p>
    <w:p>
      <w:pPr>
        <w:spacing w:line="560" w:lineRule="exact"/>
        <w:jc w:val="center"/>
        <w:textAlignment w:val="baseline"/>
        <w:rPr>
          <w:rStyle w:val="11"/>
          <w:rFonts w:ascii="Times New Roman" w:hAnsi="Times New Roman" w:eastAsia="黑体"/>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Style w:val="11"/>
          <w:rFonts w:ascii="Times New Roman" w:hAnsi="Times New Roman" w:eastAsia="楷体_GB2312"/>
          <w:b/>
          <w:szCs w:val="32"/>
        </w:rPr>
        <w:t>202</w:t>
      </w:r>
      <w:r>
        <w:rPr>
          <w:rStyle w:val="11"/>
          <w:rFonts w:hint="eastAsia" w:ascii="Times New Roman" w:hAnsi="Times New Roman" w:eastAsia="楷体_GB2312"/>
          <w:b/>
          <w:szCs w:val="32"/>
        </w:rPr>
        <w:t>3</w:t>
      </w:r>
      <w:r>
        <w:rPr>
          <w:rStyle w:val="11"/>
          <w:rFonts w:ascii="Times New Roman" w:hAnsi="Times New Roman" w:eastAsia="楷体_GB2312"/>
          <w:b/>
          <w:szCs w:val="32"/>
        </w:rPr>
        <w:t>年</w:t>
      </w:r>
      <w:r>
        <w:rPr>
          <w:rStyle w:val="11"/>
          <w:rFonts w:hint="eastAsia" w:ascii="Times New Roman" w:hAnsi="Times New Roman" w:eastAsia="楷体_GB2312"/>
          <w:b/>
          <w:szCs w:val="32"/>
        </w:rPr>
        <w:t>1</w:t>
      </w:r>
      <w:r>
        <w:rPr>
          <w:rStyle w:val="11"/>
          <w:rFonts w:ascii="Times New Roman" w:hAnsi="Times New Roman" w:eastAsia="楷体_GB2312"/>
          <w:b/>
          <w:szCs w:val="32"/>
        </w:rPr>
        <w:t>月</w:t>
      </w:r>
      <w:r>
        <w:rPr>
          <w:rStyle w:val="11"/>
          <w:rFonts w:hint="eastAsia" w:ascii="Times New Roman" w:hAnsi="Times New Roman" w:eastAsia="楷体_GB2312"/>
          <w:b/>
          <w:szCs w:val="32"/>
        </w:rPr>
        <w:t>10</w:t>
      </w:r>
      <w:r>
        <w:rPr>
          <w:rStyle w:val="11"/>
          <w:rFonts w:ascii="Times New Roman" w:hAnsi="Times New Roman" w:eastAsia="楷体_GB2312"/>
          <w:b/>
          <w:szCs w:val="32"/>
        </w:rPr>
        <w:t>日</w:t>
      </w:r>
    </w:p>
    <w:p>
      <w:pPr>
        <w:pStyle w:val="12"/>
        <w:widowControl/>
        <w:numPr>
          <w:ilvl w:val="0"/>
          <w:numId w:val="1"/>
        </w:numPr>
        <w:spacing w:line="560" w:lineRule="exact"/>
        <w:ind w:firstLineChars="0"/>
        <w:textAlignment w:val="baseline"/>
        <w:rPr>
          <w:rStyle w:val="11"/>
          <w:rFonts w:ascii="Times New Roman" w:hAnsi="Times New Roman" w:eastAsia="黑体"/>
          <w:szCs w:val="32"/>
        </w:rPr>
      </w:pPr>
      <w:r>
        <w:rPr>
          <w:rStyle w:val="11"/>
          <w:rFonts w:ascii="Times New Roman" w:hAnsi="Times New Roman" w:eastAsia="黑体"/>
          <w:szCs w:val="32"/>
        </w:rPr>
        <w:t>学位授权点建设情况</w:t>
      </w:r>
    </w:p>
    <w:p>
      <w:pPr>
        <w:pStyle w:val="2"/>
        <w:spacing w:line="240" w:lineRule="auto"/>
        <w:ind w:firstLineChars="0"/>
        <w:jc w:val="left"/>
        <w:rPr>
          <w:rStyle w:val="11"/>
          <w:rFonts w:ascii="仿宋" w:hAnsi="仿宋" w:eastAsia="仿宋"/>
          <w:b/>
          <w:color w:val="auto"/>
          <w:szCs w:val="32"/>
        </w:rPr>
      </w:pPr>
      <w:r>
        <w:rPr>
          <w:rStyle w:val="11"/>
          <w:rFonts w:hint="eastAsia" w:ascii="仿宋" w:hAnsi="仿宋" w:eastAsia="仿宋"/>
          <w:b/>
          <w:color w:val="auto"/>
          <w:szCs w:val="32"/>
        </w:rPr>
        <w:t>1.总体概况</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本专业学位于2014年获批，2015年开始正式招生。本专业学位</w:t>
      </w:r>
      <w:r>
        <w:rPr>
          <w:rStyle w:val="11"/>
          <w:rFonts w:hint="eastAsia" w:ascii="仿宋" w:hAnsi="仿宋" w:eastAsia="仿宋"/>
          <w:szCs w:val="32"/>
        </w:rPr>
        <w:t>设立以来</w:t>
      </w:r>
      <w:r>
        <w:rPr>
          <w:rStyle w:val="11"/>
          <w:rFonts w:ascii="仿宋" w:hAnsi="仿宋" w:eastAsia="仿宋"/>
          <w:szCs w:val="32"/>
        </w:rPr>
        <w:t>，积极响应国家号召，致力于传承与传播中华优秀语言文化</w:t>
      </w:r>
      <w:r>
        <w:rPr>
          <w:rStyle w:val="11"/>
          <w:rFonts w:hint="eastAsia" w:ascii="仿宋" w:hAnsi="仿宋" w:eastAsia="仿宋"/>
          <w:szCs w:val="32"/>
        </w:rPr>
        <w:t>人才</w:t>
      </w:r>
      <w:r>
        <w:rPr>
          <w:rStyle w:val="11"/>
          <w:rFonts w:ascii="仿宋" w:hAnsi="仿宋" w:eastAsia="仿宋"/>
          <w:szCs w:val="32"/>
        </w:rPr>
        <w:t>的培养，立足</w:t>
      </w:r>
      <w:r>
        <w:rPr>
          <w:rStyle w:val="11"/>
          <w:rFonts w:hint="eastAsia" w:ascii="仿宋" w:hAnsi="仿宋" w:eastAsia="仿宋"/>
          <w:szCs w:val="32"/>
        </w:rPr>
        <w:t>“</w:t>
      </w:r>
      <w:r>
        <w:rPr>
          <w:rStyle w:val="11"/>
          <w:rFonts w:ascii="仿宋" w:hAnsi="仿宋" w:eastAsia="仿宋"/>
          <w:szCs w:val="32"/>
        </w:rPr>
        <w:t>一带一路</w:t>
      </w:r>
      <w:r>
        <w:rPr>
          <w:rStyle w:val="11"/>
          <w:rFonts w:hint="eastAsia" w:ascii="仿宋" w:hAnsi="仿宋" w:eastAsia="仿宋"/>
          <w:szCs w:val="32"/>
        </w:rPr>
        <w:t>”</w:t>
      </w:r>
      <w:r>
        <w:rPr>
          <w:rStyle w:val="11"/>
          <w:rFonts w:ascii="仿宋" w:hAnsi="仿宋" w:eastAsia="仿宋"/>
          <w:szCs w:val="32"/>
        </w:rPr>
        <w:t>倡议大背景，有效利用与海外高校共建的10所孔子学院及其他海外孔子学院、孔子课堂，推动学生赴海外教学实习。同时，每年均参与主办海外孔子学院夏令营、冬令营和文化体验活动，促进中外人文交流。</w:t>
      </w:r>
      <w:r>
        <w:rPr>
          <w:rStyle w:val="11"/>
          <w:rFonts w:hint="eastAsia" w:ascii="仿宋" w:hAnsi="仿宋" w:eastAsia="仿宋"/>
          <w:szCs w:val="32"/>
        </w:rPr>
        <w:t>2016 年以来，已有1</w:t>
      </w:r>
      <w:r>
        <w:rPr>
          <w:rStyle w:val="11"/>
          <w:rFonts w:ascii="仿宋" w:hAnsi="仿宋" w:eastAsia="仿宋"/>
          <w:szCs w:val="32"/>
        </w:rPr>
        <w:t>1</w:t>
      </w:r>
      <w:r>
        <w:rPr>
          <w:rStyle w:val="11"/>
          <w:rFonts w:hint="eastAsia" w:ascii="仿宋" w:hAnsi="仿宋" w:eastAsia="仿宋"/>
          <w:szCs w:val="32"/>
        </w:rPr>
        <w:t>0余名汉语国际教育硕士研究生作为国家汉办汉语志愿者教师被派往</w:t>
      </w:r>
      <w:r>
        <w:rPr>
          <w:rStyle w:val="11"/>
          <w:rFonts w:ascii="仿宋" w:hAnsi="仿宋" w:eastAsia="仿宋"/>
          <w:szCs w:val="32"/>
        </w:rPr>
        <w:t>32</w:t>
      </w:r>
      <w:r>
        <w:rPr>
          <w:rStyle w:val="11"/>
          <w:rFonts w:hint="eastAsia" w:ascii="仿宋" w:hAnsi="仿宋" w:eastAsia="仿宋"/>
          <w:szCs w:val="32"/>
        </w:rPr>
        <w:t>个国家从事汉语教学和中华文化传播工作。同时，也为海外孔子学院与孔子课堂、知名教育机构、跨国企业及中外文化交流机构输送了大量优秀人才。</w:t>
      </w:r>
    </w:p>
    <w:p>
      <w:pPr>
        <w:widowControl/>
        <w:ind w:firstLine="640" w:firstLineChars="200"/>
        <w:textAlignment w:val="baseline"/>
        <w:rPr>
          <w:rFonts w:ascii="仿宋" w:hAnsi="仿宋" w:eastAsia="仿宋"/>
          <w:sz w:val="32"/>
          <w:szCs w:val="32"/>
        </w:rPr>
      </w:pPr>
      <w:r>
        <w:rPr>
          <w:rStyle w:val="11"/>
          <w:rFonts w:hint="eastAsia" w:ascii="仿宋" w:hAnsi="仿宋" w:eastAsia="仿宋"/>
          <w:szCs w:val="32"/>
        </w:rPr>
        <w:t>在学科建设方面</w:t>
      </w:r>
      <w:r>
        <w:rPr>
          <w:rStyle w:val="11"/>
          <w:rFonts w:ascii="仿宋" w:hAnsi="仿宋" w:eastAsia="仿宋"/>
          <w:szCs w:val="32"/>
        </w:rPr>
        <w:t>，</w:t>
      </w:r>
      <w:r>
        <w:rPr>
          <w:rStyle w:val="11"/>
          <w:rFonts w:hint="eastAsia" w:ascii="仿宋" w:hAnsi="仿宋" w:eastAsia="仿宋"/>
          <w:szCs w:val="32"/>
        </w:rPr>
        <w:t>经过多年的建设，</w:t>
      </w:r>
      <w:r>
        <w:rPr>
          <w:rStyle w:val="11"/>
          <w:rFonts w:hint="eastAsia" w:ascii="仿宋" w:hAnsi="仿宋" w:eastAsia="仿宋"/>
          <w:szCs w:val="32"/>
          <w:lang w:val="en-US"/>
        </w:rPr>
        <w:t>本学位点</w:t>
      </w:r>
      <w:r>
        <w:rPr>
          <w:rStyle w:val="11"/>
          <w:rFonts w:hint="eastAsia" w:ascii="仿宋" w:hAnsi="仿宋" w:eastAsia="仿宋"/>
          <w:szCs w:val="32"/>
        </w:rPr>
        <w:t>汉语国际教育专业在课程体系、师资力量、培养模式等方面已经相当成熟。尤其是在商务汉语教学和研究方面，成绩突出，走在国内高校前列。</w:t>
      </w:r>
      <w:r>
        <w:rPr>
          <w:rStyle w:val="11"/>
          <w:rFonts w:eastAsia="仿宋" w:cs="Calibri"/>
          <w:szCs w:val="32"/>
        </w:rPr>
        <w:t> </w:t>
      </w:r>
      <w:r>
        <w:rPr>
          <w:rStyle w:val="11"/>
          <w:rFonts w:hint="eastAsia" w:ascii="仿宋" w:hAnsi="仿宋" w:eastAsia="仿宋"/>
          <w:szCs w:val="32"/>
        </w:rPr>
        <w:t>对外经济贸易大学集经济、管理、商务语言等优势学科共建汉语国际教育硕士培养体系，充分利用校内外的优质实习实践资源，针对市场需求，培养具有国别化、商务化、复合型特征的高质量国际中文教育人才。</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在生源</w:t>
      </w:r>
      <w:r>
        <w:rPr>
          <w:rStyle w:val="11"/>
          <w:rFonts w:ascii="仿宋" w:hAnsi="仿宋" w:eastAsia="仿宋"/>
          <w:szCs w:val="32"/>
        </w:rPr>
        <w:t>和学位授予方面，</w:t>
      </w:r>
      <w:r>
        <w:rPr>
          <w:rStyle w:val="11"/>
          <w:rFonts w:hint="eastAsia" w:ascii="仿宋" w:hAnsi="仿宋" w:eastAsia="仿宋"/>
          <w:szCs w:val="32"/>
        </w:rPr>
        <w:t>本学位点</w:t>
      </w:r>
      <w:r>
        <w:rPr>
          <w:rStyle w:val="11"/>
          <w:rFonts w:ascii="仿宋" w:hAnsi="仿宋" w:eastAsia="仿宋"/>
          <w:szCs w:val="32"/>
        </w:rPr>
        <w:t>自设立以来，</w:t>
      </w:r>
      <w:r>
        <w:rPr>
          <w:rStyle w:val="11"/>
          <w:rFonts w:hint="eastAsia" w:ascii="仿宋" w:hAnsi="仿宋" w:eastAsia="仿宋"/>
          <w:szCs w:val="32"/>
        </w:rPr>
        <w:t>一直</w:t>
      </w:r>
      <w:r>
        <w:rPr>
          <w:rStyle w:val="11"/>
          <w:rFonts w:ascii="仿宋" w:hAnsi="仿宋" w:eastAsia="仿宋"/>
          <w:szCs w:val="32"/>
        </w:rPr>
        <w:t>受到考生青睐</w:t>
      </w:r>
      <w:r>
        <w:rPr>
          <w:rStyle w:val="11"/>
          <w:rFonts w:hint="eastAsia" w:ascii="仿宋" w:hAnsi="仿宋" w:eastAsia="仿宋"/>
          <w:szCs w:val="32"/>
        </w:rPr>
        <w:t>。</w:t>
      </w:r>
      <w:r>
        <w:rPr>
          <w:rStyle w:val="11"/>
          <w:rFonts w:ascii="仿宋" w:hAnsi="仿宋" w:eastAsia="仿宋"/>
          <w:szCs w:val="32"/>
        </w:rPr>
        <w:t>近五年</w:t>
      </w:r>
      <w:r>
        <w:rPr>
          <w:rStyle w:val="11"/>
          <w:rFonts w:hint="eastAsia" w:ascii="仿宋" w:hAnsi="仿宋" w:eastAsia="仿宋"/>
          <w:szCs w:val="32"/>
        </w:rPr>
        <w:t>来</w:t>
      </w:r>
      <w:r>
        <w:rPr>
          <w:rStyle w:val="11"/>
          <w:rFonts w:ascii="仿宋" w:hAnsi="仿宋" w:eastAsia="仿宋"/>
          <w:szCs w:val="32"/>
        </w:rPr>
        <w:t>，实际招生人数基本呈</w:t>
      </w:r>
      <w:r>
        <w:rPr>
          <w:rStyle w:val="11"/>
          <w:rFonts w:hint="eastAsia" w:ascii="仿宋" w:hAnsi="仿宋" w:eastAsia="仿宋"/>
          <w:szCs w:val="32"/>
        </w:rPr>
        <w:t>稳中有升</w:t>
      </w:r>
      <w:r>
        <w:rPr>
          <w:rStyle w:val="11"/>
          <w:rFonts w:ascii="仿宋" w:hAnsi="仿宋" w:eastAsia="仿宋"/>
          <w:szCs w:val="32"/>
        </w:rPr>
        <w:t>趋势。</w:t>
      </w:r>
      <w:r>
        <w:rPr>
          <w:rStyle w:val="11"/>
          <w:rFonts w:hint="eastAsia" w:ascii="仿宋" w:hAnsi="仿宋" w:eastAsia="仿宋"/>
          <w:szCs w:val="32"/>
        </w:rPr>
        <w:t>截止2022年</w:t>
      </w:r>
      <w:r>
        <w:rPr>
          <w:rStyle w:val="11"/>
          <w:rFonts w:ascii="仿宋" w:hAnsi="仿宋" w:eastAsia="仿宋"/>
          <w:szCs w:val="32"/>
        </w:rPr>
        <w:t>，共毕业汉语国际教育硕士研究生</w:t>
      </w:r>
      <w:r>
        <w:rPr>
          <w:rStyle w:val="11"/>
          <w:rFonts w:hint="eastAsia" w:ascii="仿宋" w:hAnsi="仿宋" w:eastAsia="仿宋"/>
          <w:szCs w:val="32"/>
        </w:rPr>
        <w:t>178人（含2015-</w:t>
      </w:r>
      <w:r>
        <w:rPr>
          <w:rStyle w:val="11"/>
          <w:rFonts w:ascii="仿宋" w:hAnsi="仿宋" w:eastAsia="仿宋"/>
          <w:szCs w:val="32"/>
        </w:rPr>
        <w:t>201</w:t>
      </w:r>
      <w:r>
        <w:rPr>
          <w:rStyle w:val="11"/>
          <w:rFonts w:hint="eastAsia" w:ascii="仿宋" w:hAnsi="仿宋" w:eastAsia="仿宋"/>
          <w:szCs w:val="32"/>
        </w:rPr>
        <w:t>9级</w:t>
      </w:r>
      <w:r>
        <w:rPr>
          <w:rStyle w:val="11"/>
          <w:rFonts w:ascii="仿宋" w:hAnsi="仿宋" w:eastAsia="仿宋"/>
          <w:szCs w:val="32"/>
        </w:rPr>
        <w:t>中国学生，</w:t>
      </w:r>
      <w:r>
        <w:rPr>
          <w:rStyle w:val="11"/>
          <w:rFonts w:hint="eastAsia" w:ascii="仿宋" w:hAnsi="仿宋" w:eastAsia="仿宋"/>
          <w:szCs w:val="32"/>
        </w:rPr>
        <w:t>2015</w:t>
      </w:r>
      <w:r>
        <w:rPr>
          <w:rStyle w:val="11"/>
          <w:rFonts w:ascii="仿宋" w:hAnsi="仿宋" w:eastAsia="仿宋"/>
          <w:szCs w:val="32"/>
        </w:rPr>
        <w:t>-20</w:t>
      </w:r>
      <w:r>
        <w:rPr>
          <w:rStyle w:val="11"/>
          <w:rFonts w:hint="eastAsia" w:ascii="仿宋" w:hAnsi="仿宋" w:eastAsia="仿宋"/>
          <w:szCs w:val="32"/>
        </w:rPr>
        <w:t>20级</w:t>
      </w:r>
      <w:r>
        <w:rPr>
          <w:rStyle w:val="11"/>
          <w:rFonts w:ascii="仿宋" w:hAnsi="仿宋" w:eastAsia="仿宋"/>
          <w:szCs w:val="32"/>
        </w:rPr>
        <w:t>来华留学生</w:t>
      </w:r>
      <w:r>
        <w:rPr>
          <w:rStyle w:val="11"/>
          <w:rFonts w:hint="eastAsia" w:ascii="仿宋" w:hAnsi="仿宋" w:eastAsia="仿宋"/>
          <w:szCs w:val="32"/>
        </w:rPr>
        <w:t>），</w:t>
      </w:r>
      <w:r>
        <w:rPr>
          <w:rStyle w:val="11"/>
          <w:rFonts w:ascii="仿宋" w:hAnsi="仿宋" w:eastAsia="仿宋"/>
          <w:szCs w:val="32"/>
        </w:rPr>
        <w:t>共授予学位</w:t>
      </w:r>
      <w:r>
        <w:rPr>
          <w:rStyle w:val="11"/>
          <w:rFonts w:hint="eastAsia" w:ascii="仿宋" w:hAnsi="仿宋" w:eastAsia="仿宋"/>
          <w:szCs w:val="32"/>
        </w:rPr>
        <w:t>133人</w:t>
      </w:r>
      <w:r>
        <w:rPr>
          <w:rStyle w:val="11"/>
          <w:rFonts w:ascii="仿宋" w:hAnsi="仿宋" w:eastAsia="仿宋"/>
          <w:szCs w:val="32"/>
        </w:rPr>
        <w:t>。</w:t>
      </w:r>
      <w:r>
        <w:rPr>
          <w:rStyle w:val="11"/>
          <w:rFonts w:hint="eastAsia" w:ascii="仿宋" w:hAnsi="仿宋" w:eastAsia="仿宋"/>
          <w:szCs w:val="32"/>
        </w:rPr>
        <w:t>目前在读研究生（2020、2021和2022级）共167人。</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在</w:t>
      </w:r>
      <w:r>
        <w:rPr>
          <w:rStyle w:val="11"/>
          <w:rFonts w:ascii="仿宋" w:hAnsi="仿宋" w:eastAsia="仿宋"/>
          <w:szCs w:val="32"/>
        </w:rPr>
        <w:t>毕业生</w:t>
      </w:r>
      <w:r>
        <w:rPr>
          <w:rStyle w:val="11"/>
          <w:rFonts w:hint="eastAsia" w:ascii="仿宋" w:hAnsi="仿宋" w:eastAsia="仿宋"/>
          <w:szCs w:val="32"/>
        </w:rPr>
        <w:t>就</w:t>
      </w:r>
      <w:r>
        <w:rPr>
          <w:rStyle w:val="11"/>
          <w:rFonts w:ascii="仿宋" w:hAnsi="仿宋" w:eastAsia="仿宋"/>
          <w:szCs w:val="32"/>
        </w:rPr>
        <w:t>业方面，</w:t>
      </w:r>
      <w:r>
        <w:rPr>
          <w:rStyle w:val="11"/>
          <w:rFonts w:hint="eastAsia" w:ascii="仿宋" w:hAnsi="仿宋" w:eastAsia="仿宋"/>
          <w:szCs w:val="32"/>
        </w:rPr>
        <w:t>本</w:t>
      </w:r>
      <w:r>
        <w:rPr>
          <w:rStyle w:val="11"/>
          <w:rFonts w:ascii="仿宋" w:hAnsi="仿宋" w:eastAsia="仿宋"/>
          <w:szCs w:val="32"/>
        </w:rPr>
        <w:t>学位点毕业生</w:t>
      </w:r>
      <w:r>
        <w:rPr>
          <w:rStyle w:val="11"/>
          <w:rFonts w:hint="eastAsia" w:ascii="仿宋" w:hAnsi="仿宋" w:eastAsia="仿宋"/>
          <w:szCs w:val="32"/>
        </w:rPr>
        <w:t>就业</w:t>
      </w:r>
      <w:r>
        <w:rPr>
          <w:rStyle w:val="11"/>
          <w:rFonts w:ascii="仿宋" w:hAnsi="仿宋" w:eastAsia="仿宋"/>
          <w:szCs w:val="32"/>
        </w:rPr>
        <w:t>状况良好，历年来</w:t>
      </w:r>
      <w:r>
        <w:rPr>
          <w:rStyle w:val="11"/>
          <w:rFonts w:hint="eastAsia" w:ascii="仿宋" w:hAnsi="仿宋" w:eastAsia="仿宋"/>
          <w:szCs w:val="32"/>
        </w:rPr>
        <w:t>基本</w:t>
      </w:r>
      <w:r>
        <w:rPr>
          <w:rStyle w:val="11"/>
          <w:rFonts w:ascii="仿宋" w:hAnsi="仿宋" w:eastAsia="仿宋"/>
          <w:szCs w:val="32"/>
        </w:rPr>
        <w:t>实现百分百就业</w:t>
      </w:r>
      <w:r>
        <w:rPr>
          <w:rStyle w:val="11"/>
          <w:rFonts w:hint="eastAsia" w:ascii="仿宋" w:hAnsi="仿宋" w:eastAsia="仿宋"/>
          <w:szCs w:val="32"/>
        </w:rPr>
        <w:t>。</w:t>
      </w:r>
      <w:r>
        <w:rPr>
          <w:rStyle w:val="11"/>
          <w:rFonts w:ascii="仿宋" w:hAnsi="仿宋" w:eastAsia="仿宋"/>
          <w:szCs w:val="32"/>
        </w:rPr>
        <w:t>就业去向</w:t>
      </w:r>
      <w:r>
        <w:rPr>
          <w:rStyle w:val="11"/>
          <w:rFonts w:hint="eastAsia" w:ascii="仿宋" w:hAnsi="仿宋" w:eastAsia="仿宋"/>
          <w:szCs w:val="32"/>
        </w:rPr>
        <w:t>主要</w:t>
      </w:r>
      <w:r>
        <w:rPr>
          <w:rStyle w:val="11"/>
          <w:rFonts w:ascii="仿宋" w:hAnsi="仿宋" w:eastAsia="仿宋"/>
          <w:szCs w:val="32"/>
        </w:rPr>
        <w:t>分布在高等教育单位、中小学、教育培训机构</w:t>
      </w:r>
      <w:r>
        <w:rPr>
          <w:rStyle w:val="11"/>
          <w:rFonts w:hint="eastAsia" w:ascii="仿宋" w:hAnsi="仿宋" w:eastAsia="仿宋"/>
          <w:szCs w:val="32"/>
        </w:rPr>
        <w:t>和</w:t>
      </w:r>
      <w:r>
        <w:rPr>
          <w:rStyle w:val="11"/>
          <w:rFonts w:ascii="仿宋" w:hAnsi="仿宋" w:eastAsia="仿宋"/>
          <w:szCs w:val="32"/>
        </w:rPr>
        <w:t>企事业单位</w:t>
      </w:r>
      <w:r>
        <w:rPr>
          <w:rStyle w:val="11"/>
          <w:rFonts w:hint="eastAsia" w:ascii="仿宋" w:hAnsi="仿宋" w:eastAsia="仿宋"/>
          <w:szCs w:val="32"/>
        </w:rPr>
        <w:t>。</w:t>
      </w:r>
      <w:r>
        <w:rPr>
          <w:rStyle w:val="11"/>
          <w:rFonts w:ascii="仿宋" w:hAnsi="仿宋" w:eastAsia="仿宋"/>
          <w:szCs w:val="32"/>
        </w:rPr>
        <w:t>其中</w:t>
      </w:r>
      <w:r>
        <w:rPr>
          <w:rStyle w:val="11"/>
          <w:rFonts w:hint="eastAsia" w:ascii="仿宋" w:hAnsi="仿宋" w:eastAsia="仿宋"/>
          <w:szCs w:val="32"/>
        </w:rPr>
        <w:t>，</w:t>
      </w:r>
      <w:r>
        <w:rPr>
          <w:rStyle w:val="11"/>
          <w:rFonts w:ascii="仿宋" w:hAnsi="仿宋" w:eastAsia="仿宋"/>
          <w:szCs w:val="32"/>
        </w:rPr>
        <w:t>选择在教育行业领域（</w:t>
      </w:r>
      <w:r>
        <w:rPr>
          <w:rStyle w:val="11"/>
          <w:rFonts w:hint="eastAsia" w:ascii="仿宋" w:hAnsi="仿宋" w:eastAsia="仿宋"/>
          <w:szCs w:val="32"/>
        </w:rPr>
        <w:t>高等教育</w:t>
      </w:r>
      <w:r>
        <w:rPr>
          <w:rStyle w:val="11"/>
          <w:rFonts w:ascii="仿宋" w:hAnsi="仿宋" w:eastAsia="仿宋"/>
          <w:szCs w:val="32"/>
        </w:rPr>
        <w:t>单位、中小学、教育培训机构、出国深造</w:t>
      </w:r>
      <w:r>
        <w:rPr>
          <w:rStyle w:val="11"/>
          <w:rFonts w:hint="eastAsia" w:ascii="仿宋" w:hAnsi="仿宋" w:eastAsia="仿宋"/>
          <w:szCs w:val="32"/>
        </w:rPr>
        <w:t>等</w:t>
      </w:r>
      <w:r>
        <w:rPr>
          <w:rStyle w:val="11"/>
          <w:rFonts w:ascii="仿宋" w:hAnsi="仿宋" w:eastAsia="仿宋"/>
          <w:szCs w:val="32"/>
        </w:rPr>
        <w:t>）就业的在</w:t>
      </w:r>
      <w:r>
        <w:rPr>
          <w:rStyle w:val="11"/>
          <w:rFonts w:hint="eastAsia" w:ascii="仿宋" w:hAnsi="仿宋" w:eastAsia="仿宋"/>
          <w:szCs w:val="32"/>
        </w:rPr>
        <w:t>60</w:t>
      </w:r>
      <w:r>
        <w:rPr>
          <w:rStyle w:val="11"/>
          <w:rFonts w:ascii="仿宋" w:hAnsi="仿宋" w:eastAsia="仿宋"/>
          <w:szCs w:val="32"/>
        </w:rPr>
        <w:t>%以上</w:t>
      </w:r>
      <w:r>
        <w:rPr>
          <w:rStyle w:val="11"/>
          <w:rFonts w:hint="eastAsia" w:ascii="仿宋" w:hAnsi="仿宋" w:eastAsia="仿宋"/>
          <w:szCs w:val="32"/>
        </w:rPr>
        <w:t>,</w:t>
      </w:r>
      <w:r>
        <w:rPr>
          <w:rStyle w:val="11"/>
          <w:rFonts w:ascii="仿宋" w:hAnsi="仿宋" w:eastAsia="仿宋"/>
          <w:szCs w:val="32"/>
        </w:rPr>
        <w:t>基本实现</w:t>
      </w:r>
      <w:r>
        <w:rPr>
          <w:rStyle w:val="11"/>
          <w:rFonts w:hint="eastAsia" w:ascii="仿宋" w:hAnsi="仿宋" w:eastAsia="仿宋"/>
          <w:szCs w:val="32"/>
        </w:rPr>
        <w:t>教育行业</w:t>
      </w:r>
      <w:r>
        <w:rPr>
          <w:rStyle w:val="11"/>
          <w:rFonts w:ascii="仿宋" w:hAnsi="仿宋" w:eastAsia="仿宋"/>
          <w:szCs w:val="32"/>
        </w:rPr>
        <w:t>对口培养。</w:t>
      </w:r>
      <w:r>
        <w:rPr>
          <w:rStyle w:val="11"/>
          <w:rFonts w:hint="eastAsia" w:ascii="仿宋" w:hAnsi="仿宋" w:eastAsia="仿宋"/>
          <w:szCs w:val="32"/>
        </w:rPr>
        <w:t>下图</w:t>
      </w:r>
      <w:r>
        <w:rPr>
          <w:rStyle w:val="11"/>
          <w:rFonts w:ascii="仿宋" w:hAnsi="仿宋" w:eastAsia="仿宋"/>
          <w:szCs w:val="32"/>
        </w:rPr>
        <w:t>是</w:t>
      </w:r>
      <w:r>
        <w:rPr>
          <w:rStyle w:val="11"/>
          <w:rFonts w:hint="eastAsia" w:ascii="仿宋" w:hAnsi="仿宋" w:eastAsia="仿宋"/>
          <w:szCs w:val="32"/>
        </w:rPr>
        <w:t>2015级</w:t>
      </w:r>
      <w:r>
        <w:rPr>
          <w:rStyle w:val="11"/>
          <w:rFonts w:ascii="仿宋" w:hAnsi="仿宋" w:eastAsia="仿宋"/>
          <w:szCs w:val="32"/>
        </w:rPr>
        <w:t>至</w:t>
      </w:r>
      <w:r>
        <w:rPr>
          <w:rStyle w:val="11"/>
          <w:rFonts w:hint="eastAsia" w:ascii="仿宋" w:hAnsi="仿宋" w:eastAsia="仿宋"/>
          <w:szCs w:val="32"/>
        </w:rPr>
        <w:t>2019级毕业生（中国</w:t>
      </w:r>
      <w:r>
        <w:rPr>
          <w:rStyle w:val="11"/>
          <w:rFonts w:ascii="仿宋" w:hAnsi="仿宋" w:eastAsia="仿宋"/>
          <w:szCs w:val="32"/>
        </w:rPr>
        <w:t>学生</w:t>
      </w:r>
      <w:r>
        <w:rPr>
          <w:rStyle w:val="11"/>
          <w:rFonts w:hint="eastAsia" w:ascii="仿宋" w:hAnsi="仿宋" w:eastAsia="仿宋"/>
          <w:szCs w:val="32"/>
        </w:rPr>
        <w:t>）</w:t>
      </w:r>
      <w:r>
        <w:rPr>
          <w:rStyle w:val="11"/>
          <w:rFonts w:ascii="仿宋" w:hAnsi="仿宋" w:eastAsia="仿宋"/>
          <w:szCs w:val="32"/>
        </w:rPr>
        <w:t>的就业去向</w:t>
      </w:r>
      <w:r>
        <w:rPr>
          <w:rStyle w:val="11"/>
          <w:rFonts w:hint="eastAsia" w:ascii="仿宋" w:hAnsi="仿宋" w:eastAsia="仿宋"/>
          <w:szCs w:val="32"/>
        </w:rPr>
        <w:t>各</w:t>
      </w:r>
      <w:r>
        <w:rPr>
          <w:rStyle w:val="11"/>
          <w:rFonts w:ascii="仿宋" w:hAnsi="仿宋" w:eastAsia="仿宋"/>
          <w:szCs w:val="32"/>
        </w:rPr>
        <w:t>领域</w:t>
      </w:r>
      <w:r>
        <w:rPr>
          <w:rStyle w:val="11"/>
          <w:rFonts w:hint="eastAsia" w:ascii="仿宋" w:hAnsi="仿宋" w:eastAsia="仿宋"/>
          <w:szCs w:val="32"/>
        </w:rPr>
        <w:t>人数</w:t>
      </w:r>
      <w:r>
        <w:rPr>
          <w:rStyle w:val="11"/>
          <w:rFonts w:ascii="仿宋" w:hAnsi="仿宋" w:eastAsia="仿宋"/>
          <w:szCs w:val="32"/>
        </w:rPr>
        <w:t>分布。</w:t>
      </w:r>
    </w:p>
    <w:p>
      <w:pPr>
        <w:widowControl/>
        <w:textAlignment w:val="baseline"/>
        <w:rPr>
          <w:rFonts w:ascii="仿宋" w:hAnsi="仿宋" w:eastAsia="仿宋"/>
          <w:sz w:val="32"/>
          <w:szCs w:val="32"/>
        </w:rPr>
      </w:pPr>
      <w:r>
        <w:drawing>
          <wp:inline distT="0" distB="0" distL="0" distR="0">
            <wp:extent cx="5286375" cy="3514725"/>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在</w:t>
      </w:r>
      <w:r>
        <w:rPr>
          <w:rStyle w:val="11"/>
          <w:rFonts w:ascii="仿宋" w:hAnsi="仿宋" w:eastAsia="仿宋"/>
          <w:szCs w:val="32"/>
        </w:rPr>
        <w:t>研究生导师队伍建设方面</w:t>
      </w:r>
      <w:r>
        <w:rPr>
          <w:rStyle w:val="11"/>
          <w:rFonts w:hint="eastAsia" w:ascii="仿宋" w:hAnsi="仿宋" w:eastAsia="仿宋"/>
          <w:szCs w:val="32"/>
        </w:rPr>
        <w:t>，本学位点</w:t>
      </w:r>
      <w:r>
        <w:rPr>
          <w:rStyle w:val="11"/>
          <w:rFonts w:ascii="仿宋" w:hAnsi="仿宋" w:eastAsia="仿宋"/>
          <w:szCs w:val="32"/>
        </w:rPr>
        <w:t>目前已经形成了一支高质量的校内校外导师结合的导师队伍。</w:t>
      </w:r>
      <w:r>
        <w:rPr>
          <w:rStyle w:val="11"/>
          <w:rFonts w:hint="eastAsia" w:ascii="仿宋" w:hAnsi="仿宋" w:eastAsia="仿宋"/>
          <w:szCs w:val="32"/>
        </w:rPr>
        <w:t>本学位点目前</w:t>
      </w:r>
      <w:r>
        <w:rPr>
          <w:rStyle w:val="11"/>
          <w:rFonts w:ascii="仿宋" w:hAnsi="仿宋" w:eastAsia="仿宋"/>
          <w:szCs w:val="32"/>
        </w:rPr>
        <w:t>有</w:t>
      </w:r>
      <w:r>
        <w:rPr>
          <w:rStyle w:val="11"/>
          <w:rFonts w:hint="eastAsia" w:ascii="仿宋" w:hAnsi="仿宋" w:eastAsia="仿宋"/>
          <w:szCs w:val="32"/>
        </w:rPr>
        <w:t>校内</w:t>
      </w:r>
      <w:r>
        <w:rPr>
          <w:rStyle w:val="11"/>
          <w:rFonts w:ascii="仿宋" w:hAnsi="仿宋" w:eastAsia="仿宋"/>
          <w:szCs w:val="32"/>
        </w:rPr>
        <w:t>导师</w:t>
      </w:r>
      <w:r>
        <w:rPr>
          <w:rStyle w:val="11"/>
          <w:rFonts w:hint="eastAsia" w:ascii="仿宋" w:hAnsi="仿宋" w:eastAsia="仿宋"/>
          <w:szCs w:val="32"/>
        </w:rPr>
        <w:t>35人，</w:t>
      </w:r>
      <w:r>
        <w:rPr>
          <w:rStyle w:val="11"/>
          <w:rFonts w:ascii="仿宋" w:hAnsi="仿宋" w:eastAsia="仿宋"/>
          <w:szCs w:val="32"/>
        </w:rPr>
        <w:t>其中含</w:t>
      </w:r>
      <w:r>
        <w:rPr>
          <w:rStyle w:val="11"/>
          <w:rFonts w:hint="eastAsia" w:ascii="仿宋" w:hAnsi="仿宋" w:eastAsia="仿宋"/>
          <w:szCs w:val="32"/>
        </w:rPr>
        <w:t>2022年</w:t>
      </w:r>
      <w:r>
        <w:rPr>
          <w:rStyle w:val="11"/>
          <w:rFonts w:ascii="仿宋" w:hAnsi="仿宋" w:eastAsia="仿宋"/>
          <w:szCs w:val="32"/>
        </w:rPr>
        <w:t>新增导师</w:t>
      </w:r>
      <w:r>
        <w:rPr>
          <w:rStyle w:val="11"/>
          <w:rFonts w:hint="eastAsia" w:ascii="仿宋" w:hAnsi="仿宋" w:eastAsia="仿宋"/>
          <w:szCs w:val="32"/>
        </w:rPr>
        <w:t>4人。</w:t>
      </w:r>
      <w:r>
        <w:rPr>
          <w:rStyle w:val="11"/>
          <w:rFonts w:ascii="仿宋" w:hAnsi="仿宋" w:eastAsia="仿宋"/>
          <w:szCs w:val="32"/>
        </w:rPr>
        <w:t>导师聘用程序规范，培训要求严格。严格遵照学校相关规定聘用硕士导师，导师队伍以教授、副教授为主，90%以上教师有海外学习、进修或工作经历。新任导师须参加由学校和</w:t>
      </w:r>
      <w:r>
        <w:rPr>
          <w:rStyle w:val="11"/>
          <w:rFonts w:hint="eastAsia" w:ascii="仿宋" w:hAnsi="仿宋" w:eastAsia="仿宋"/>
          <w:szCs w:val="32"/>
        </w:rPr>
        <w:t>本学位点</w:t>
      </w:r>
      <w:r>
        <w:rPr>
          <w:rStyle w:val="11"/>
          <w:rFonts w:ascii="仿宋" w:hAnsi="仿宋" w:eastAsia="仿宋"/>
          <w:szCs w:val="32"/>
        </w:rPr>
        <w:t>组织的培训。结合汉语国际教育专业特点，建立和完善了导师国内外学术交流与合作制度，为导师提高学术和实践能力提供了平台。新老教师</w:t>
      </w:r>
      <w:r>
        <w:rPr>
          <w:rStyle w:val="11"/>
          <w:rFonts w:hint="eastAsia" w:ascii="仿宋" w:hAnsi="仿宋" w:eastAsia="仿宋"/>
          <w:szCs w:val="32"/>
        </w:rPr>
        <w:t>“结对子”</w:t>
      </w:r>
      <w:r>
        <w:rPr>
          <w:rStyle w:val="11"/>
          <w:rFonts w:ascii="仿宋" w:hAnsi="仿宋" w:eastAsia="仿宋"/>
          <w:szCs w:val="32"/>
        </w:rPr>
        <w:t>，老教师充分发挥传帮带作用。</w:t>
      </w:r>
      <w:r>
        <w:rPr>
          <w:rStyle w:val="11"/>
          <w:rFonts w:hint="eastAsia" w:ascii="仿宋" w:hAnsi="仿宋" w:eastAsia="仿宋"/>
          <w:szCs w:val="32"/>
        </w:rPr>
        <w:t>校外</w:t>
      </w:r>
      <w:r>
        <w:rPr>
          <w:rStyle w:val="11"/>
          <w:rFonts w:ascii="仿宋" w:hAnsi="仿宋" w:eastAsia="仿宋"/>
          <w:szCs w:val="32"/>
        </w:rPr>
        <w:t>导师由海外孔子学院教师、国内相关行业</w:t>
      </w:r>
      <w:r>
        <w:rPr>
          <w:rStyle w:val="11"/>
          <w:rFonts w:hint="eastAsia" w:ascii="仿宋" w:hAnsi="仿宋" w:eastAsia="仿宋"/>
          <w:szCs w:val="32"/>
        </w:rPr>
        <w:t>的</w:t>
      </w:r>
      <w:r>
        <w:rPr>
          <w:rStyle w:val="11"/>
          <w:rFonts w:ascii="仿宋" w:hAnsi="仿宋" w:eastAsia="仿宋"/>
          <w:szCs w:val="32"/>
        </w:rPr>
        <w:t>十余位专家组成</w:t>
      </w:r>
      <w:r>
        <w:rPr>
          <w:rStyle w:val="11"/>
          <w:rFonts w:hint="eastAsia" w:ascii="仿宋" w:hAnsi="仿宋" w:eastAsia="仿宋"/>
          <w:szCs w:val="32"/>
        </w:rPr>
        <w:t>，</w:t>
      </w:r>
      <w:r>
        <w:rPr>
          <w:rStyle w:val="11"/>
          <w:rFonts w:ascii="仿宋" w:hAnsi="仿宋" w:eastAsia="仿宋"/>
          <w:szCs w:val="32"/>
        </w:rPr>
        <w:t>导师队伍成熟稳定。校外导师在拓展学生实践学习、提升学生职业意识和素养方面提供指导。校外实践导师采用三年一聘，重点考察校外导师的业务能力和业界影响力。</w:t>
      </w:r>
    </w:p>
    <w:p>
      <w:pPr>
        <w:pStyle w:val="2"/>
        <w:spacing w:line="240" w:lineRule="auto"/>
        <w:ind w:firstLine="643"/>
        <w:jc w:val="left"/>
        <w:rPr>
          <w:rStyle w:val="11"/>
          <w:rFonts w:ascii="仿宋" w:hAnsi="仿宋" w:eastAsia="仿宋"/>
          <w:b/>
          <w:color w:val="auto"/>
          <w:szCs w:val="32"/>
        </w:rPr>
      </w:pPr>
      <w:r>
        <w:rPr>
          <w:rStyle w:val="11"/>
          <w:rFonts w:hint="eastAsia" w:ascii="仿宋" w:hAnsi="仿宋" w:eastAsia="仿宋"/>
          <w:b/>
          <w:color w:val="auto"/>
          <w:szCs w:val="32"/>
        </w:rPr>
        <w:t>2.</w:t>
      </w:r>
      <w:r>
        <w:rPr>
          <w:rStyle w:val="11"/>
          <w:rFonts w:ascii="仿宋" w:hAnsi="仿宋" w:eastAsia="仿宋"/>
          <w:b/>
          <w:color w:val="auto"/>
          <w:szCs w:val="32"/>
        </w:rPr>
        <w:t>人才培养</w:t>
      </w:r>
    </w:p>
    <w:p>
      <w:pPr>
        <w:pStyle w:val="2"/>
        <w:spacing w:line="240" w:lineRule="auto"/>
        <w:ind w:firstLine="643"/>
        <w:jc w:val="left"/>
        <w:rPr>
          <w:rFonts w:ascii="仿宋" w:hAnsi="仿宋" w:eastAsia="仿宋"/>
          <w:b/>
          <w:sz w:val="32"/>
        </w:rPr>
      </w:pPr>
      <w:r>
        <w:rPr>
          <w:rStyle w:val="11"/>
          <w:rFonts w:hint="eastAsia" w:ascii="仿宋" w:hAnsi="仿宋" w:eastAsia="仿宋"/>
          <w:b/>
          <w:color w:val="auto"/>
          <w:szCs w:val="32"/>
        </w:rPr>
        <w:t>（1）</w:t>
      </w:r>
      <w:r>
        <w:rPr>
          <w:rStyle w:val="11"/>
          <w:rFonts w:ascii="仿宋" w:hAnsi="仿宋" w:eastAsia="仿宋"/>
          <w:b/>
          <w:color w:val="auto"/>
          <w:szCs w:val="32"/>
        </w:rPr>
        <w:t>培养</w:t>
      </w:r>
      <w:r>
        <w:rPr>
          <w:rFonts w:ascii="仿宋" w:hAnsi="仿宋" w:eastAsia="仿宋"/>
          <w:b/>
          <w:sz w:val="32"/>
        </w:rPr>
        <w:t>规模、招生与就业</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2015年</w:t>
      </w:r>
      <w:r>
        <w:rPr>
          <w:rStyle w:val="11"/>
          <w:rFonts w:ascii="仿宋" w:hAnsi="仿宋" w:eastAsia="仿宋"/>
          <w:szCs w:val="32"/>
        </w:rPr>
        <w:t>至</w:t>
      </w:r>
      <w:r>
        <w:rPr>
          <w:rStyle w:val="11"/>
          <w:rFonts w:hint="eastAsia" w:ascii="仿宋" w:hAnsi="仿宋" w:eastAsia="仿宋"/>
          <w:szCs w:val="32"/>
        </w:rPr>
        <w:t>2022年</w:t>
      </w:r>
      <w:r>
        <w:rPr>
          <w:rStyle w:val="11"/>
          <w:rFonts w:ascii="仿宋" w:hAnsi="仿宋" w:eastAsia="仿宋"/>
          <w:szCs w:val="32"/>
        </w:rPr>
        <w:t>，本学位点历年招生情况</w:t>
      </w:r>
      <w:r>
        <w:rPr>
          <w:rStyle w:val="11"/>
          <w:rFonts w:hint="eastAsia" w:ascii="仿宋" w:hAnsi="仿宋" w:eastAsia="仿宋"/>
          <w:szCs w:val="32"/>
        </w:rPr>
        <w:t>基本呈</w:t>
      </w:r>
      <w:r>
        <w:rPr>
          <w:rStyle w:val="11"/>
          <w:rFonts w:ascii="仿宋" w:hAnsi="仿宋" w:eastAsia="仿宋"/>
          <w:szCs w:val="32"/>
        </w:rPr>
        <w:t>上升趋势。</w:t>
      </w:r>
      <w:r>
        <w:rPr>
          <w:rStyle w:val="11"/>
          <w:rFonts w:hint="eastAsia" w:ascii="仿宋" w:hAnsi="仿宋" w:eastAsia="仿宋"/>
          <w:szCs w:val="32"/>
        </w:rPr>
        <w:t>其中</w:t>
      </w:r>
      <w:r>
        <w:rPr>
          <w:rStyle w:val="11"/>
          <w:rFonts w:ascii="仿宋" w:hAnsi="仿宋" w:eastAsia="仿宋"/>
          <w:szCs w:val="32"/>
        </w:rPr>
        <w:t>，</w:t>
      </w:r>
      <w:r>
        <w:rPr>
          <w:rStyle w:val="11"/>
          <w:rFonts w:hint="eastAsia" w:ascii="仿宋" w:hAnsi="仿宋" w:eastAsia="仿宋"/>
          <w:szCs w:val="32"/>
        </w:rPr>
        <w:t>2022年本学位点</w:t>
      </w:r>
      <w:r>
        <w:rPr>
          <w:rStyle w:val="11"/>
          <w:rFonts w:ascii="仿宋" w:hAnsi="仿宋" w:eastAsia="仿宋"/>
          <w:szCs w:val="32"/>
        </w:rPr>
        <w:t>招收中国学生</w:t>
      </w:r>
      <w:r>
        <w:rPr>
          <w:rStyle w:val="11"/>
          <w:rFonts w:hint="eastAsia" w:ascii="仿宋" w:hAnsi="仿宋" w:eastAsia="仿宋"/>
          <w:szCs w:val="32"/>
        </w:rPr>
        <w:t>4</w:t>
      </w:r>
      <w:r>
        <w:rPr>
          <w:rStyle w:val="11"/>
          <w:rFonts w:ascii="仿宋" w:hAnsi="仿宋" w:eastAsia="仿宋"/>
          <w:szCs w:val="32"/>
        </w:rPr>
        <w:t>3</w:t>
      </w:r>
      <w:r>
        <w:rPr>
          <w:rStyle w:val="11"/>
          <w:rFonts w:hint="eastAsia" w:ascii="仿宋" w:hAnsi="仿宋" w:eastAsia="仿宋"/>
          <w:szCs w:val="32"/>
        </w:rPr>
        <w:t>人</w:t>
      </w:r>
      <w:r>
        <w:rPr>
          <w:rStyle w:val="11"/>
          <w:rFonts w:ascii="仿宋" w:hAnsi="仿宋" w:eastAsia="仿宋"/>
          <w:szCs w:val="32"/>
        </w:rPr>
        <w:t>，来华留学生8</w:t>
      </w:r>
      <w:r>
        <w:rPr>
          <w:rStyle w:val="11"/>
          <w:rFonts w:hint="eastAsia" w:ascii="仿宋" w:hAnsi="仿宋" w:eastAsia="仿宋"/>
          <w:szCs w:val="32"/>
        </w:rPr>
        <w:t>人</w:t>
      </w:r>
      <w:r>
        <w:rPr>
          <w:rStyle w:val="11"/>
          <w:rFonts w:ascii="仿宋" w:hAnsi="仿宋" w:eastAsia="仿宋"/>
          <w:szCs w:val="32"/>
        </w:rPr>
        <w:t>。</w:t>
      </w:r>
      <w:r>
        <w:rPr>
          <w:rStyle w:val="11"/>
          <w:rFonts w:hint="eastAsia" w:ascii="仿宋" w:hAnsi="仿宋" w:eastAsia="仿宋"/>
          <w:szCs w:val="32"/>
        </w:rPr>
        <w:t>2021年</w:t>
      </w:r>
      <w:r>
        <w:rPr>
          <w:rStyle w:val="11"/>
          <w:rFonts w:ascii="仿宋" w:hAnsi="仿宋" w:eastAsia="仿宋"/>
          <w:szCs w:val="32"/>
        </w:rPr>
        <w:t>，本学位点毕业生人数</w:t>
      </w:r>
      <w:r>
        <w:rPr>
          <w:rStyle w:val="11"/>
          <w:rFonts w:hint="eastAsia" w:ascii="仿宋" w:hAnsi="仿宋" w:eastAsia="仿宋"/>
          <w:szCs w:val="32"/>
        </w:rPr>
        <w:t>43人（其中</w:t>
      </w:r>
      <w:r>
        <w:rPr>
          <w:rStyle w:val="11"/>
          <w:rFonts w:ascii="仿宋" w:hAnsi="仿宋" w:eastAsia="仿宋"/>
          <w:szCs w:val="32"/>
        </w:rPr>
        <w:t>中国学生</w:t>
      </w:r>
      <w:r>
        <w:rPr>
          <w:rStyle w:val="11"/>
          <w:rFonts w:hint="eastAsia" w:ascii="仿宋" w:hAnsi="仿宋" w:eastAsia="仿宋"/>
          <w:szCs w:val="32"/>
        </w:rPr>
        <w:t>40人）</w:t>
      </w:r>
      <w:r>
        <w:rPr>
          <w:rStyle w:val="11"/>
          <w:rFonts w:ascii="仿宋" w:hAnsi="仿宋" w:eastAsia="仿宋"/>
          <w:szCs w:val="32"/>
        </w:rPr>
        <w:t>，授予学位</w:t>
      </w:r>
      <w:r>
        <w:rPr>
          <w:rStyle w:val="11"/>
          <w:rFonts w:hint="eastAsia" w:ascii="仿宋" w:hAnsi="仿宋" w:eastAsia="仿宋"/>
          <w:szCs w:val="32"/>
        </w:rPr>
        <w:t>43人</w:t>
      </w:r>
      <w:r>
        <w:rPr>
          <w:rStyle w:val="11"/>
          <w:rFonts w:ascii="仿宋" w:hAnsi="仿宋" w:eastAsia="仿宋"/>
          <w:szCs w:val="32"/>
        </w:rPr>
        <w:t>。</w:t>
      </w:r>
      <w:r>
        <w:rPr>
          <w:rStyle w:val="11"/>
          <w:rFonts w:hint="eastAsia" w:ascii="仿宋" w:hAnsi="仿宋" w:eastAsia="仿宋"/>
          <w:szCs w:val="32"/>
        </w:rPr>
        <w:t>目前</w:t>
      </w:r>
      <w:r>
        <w:rPr>
          <w:rStyle w:val="11"/>
          <w:rFonts w:ascii="仿宋" w:hAnsi="仿宋" w:eastAsia="仿宋"/>
          <w:szCs w:val="32"/>
        </w:rPr>
        <w:t>在读</w:t>
      </w:r>
      <w:r>
        <w:rPr>
          <w:rStyle w:val="11"/>
          <w:rFonts w:hint="eastAsia" w:ascii="仿宋" w:hAnsi="仿宋" w:eastAsia="仿宋"/>
          <w:szCs w:val="32"/>
        </w:rPr>
        <w:t>汉语国际教育</w:t>
      </w:r>
      <w:r>
        <w:rPr>
          <w:rStyle w:val="11"/>
          <w:rFonts w:ascii="仿宋" w:hAnsi="仿宋" w:eastAsia="仿宋"/>
          <w:szCs w:val="32"/>
        </w:rPr>
        <w:t>硕士研究生为</w:t>
      </w:r>
      <w:r>
        <w:rPr>
          <w:rStyle w:val="11"/>
          <w:rFonts w:hint="eastAsia" w:ascii="仿宋" w:hAnsi="仿宋" w:eastAsia="仿宋"/>
          <w:szCs w:val="32"/>
        </w:rPr>
        <w:t>2020、2021和2022级</w:t>
      </w:r>
      <w:r>
        <w:rPr>
          <w:rStyle w:val="11"/>
          <w:rFonts w:ascii="仿宋" w:hAnsi="仿宋" w:eastAsia="仿宋"/>
          <w:szCs w:val="32"/>
        </w:rPr>
        <w:t>三个年级学生，共149</w:t>
      </w:r>
      <w:r>
        <w:rPr>
          <w:rStyle w:val="11"/>
          <w:rFonts w:hint="eastAsia" w:ascii="仿宋" w:hAnsi="仿宋" w:eastAsia="仿宋"/>
          <w:szCs w:val="32"/>
        </w:rPr>
        <w:t>人（其中来华留学生</w:t>
      </w:r>
      <w:r>
        <w:rPr>
          <w:rStyle w:val="11"/>
          <w:rFonts w:ascii="仿宋" w:hAnsi="仿宋" w:eastAsia="仿宋"/>
          <w:szCs w:val="32"/>
        </w:rPr>
        <w:t>15</w:t>
      </w:r>
      <w:r>
        <w:rPr>
          <w:rStyle w:val="11"/>
          <w:rFonts w:hint="eastAsia" w:ascii="仿宋" w:hAnsi="仿宋" w:eastAsia="仿宋"/>
          <w:szCs w:val="32"/>
        </w:rPr>
        <w:t>人）</w:t>
      </w:r>
      <w:r>
        <w:rPr>
          <w:rStyle w:val="11"/>
          <w:rFonts w:ascii="仿宋" w:hAnsi="仿宋" w:eastAsia="仿宋"/>
          <w:szCs w:val="32"/>
        </w:rPr>
        <w:t>。</w:t>
      </w:r>
    </w:p>
    <w:p>
      <w:pPr>
        <w:widowControl/>
        <w:ind w:firstLine="420" w:firstLineChars="200"/>
        <w:jc w:val="center"/>
        <w:textAlignment w:val="baseline"/>
        <w:rPr>
          <w:rFonts w:ascii="仿宋" w:hAnsi="仿宋" w:eastAsia="仿宋"/>
          <w:szCs w:val="21"/>
        </w:rPr>
      </w:pPr>
      <w:r>
        <w:rPr>
          <w:rStyle w:val="11"/>
          <w:rFonts w:hint="eastAsia" w:ascii="仿宋" w:hAnsi="仿宋" w:eastAsia="仿宋"/>
          <w:sz w:val="21"/>
          <w:szCs w:val="21"/>
        </w:rPr>
        <w:t>2015-</w:t>
      </w:r>
      <w:r>
        <w:rPr>
          <w:rStyle w:val="11"/>
          <w:rFonts w:ascii="仿宋" w:hAnsi="仿宋" w:eastAsia="仿宋"/>
          <w:sz w:val="21"/>
          <w:szCs w:val="21"/>
        </w:rPr>
        <w:t>2022</w:t>
      </w:r>
      <w:r>
        <w:rPr>
          <w:rStyle w:val="11"/>
          <w:rFonts w:hint="eastAsia" w:ascii="仿宋" w:hAnsi="仿宋" w:eastAsia="仿宋"/>
          <w:sz w:val="21"/>
          <w:szCs w:val="21"/>
        </w:rPr>
        <w:t>年对外经济贸易大学</w:t>
      </w:r>
      <w:r>
        <w:rPr>
          <w:rStyle w:val="11"/>
          <w:rFonts w:ascii="仿宋" w:hAnsi="仿宋" w:eastAsia="仿宋"/>
          <w:sz w:val="21"/>
          <w:szCs w:val="21"/>
        </w:rPr>
        <w:t>汉语国际教育硕士学位点招生情况</w:t>
      </w:r>
    </w:p>
    <w:tbl>
      <w:tblPr>
        <w:tblStyle w:val="8"/>
        <w:tblW w:w="6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406"/>
        <w:gridCol w:w="179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年度</w:t>
            </w:r>
          </w:p>
        </w:tc>
        <w:tc>
          <w:tcPr>
            <w:tcW w:w="2406"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招生（中国学生）人数</w:t>
            </w:r>
          </w:p>
        </w:tc>
        <w:tc>
          <w:tcPr>
            <w:tcW w:w="179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来华留学生人数</w:t>
            </w:r>
          </w:p>
        </w:tc>
        <w:tc>
          <w:tcPr>
            <w:tcW w:w="165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中外学生总计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2015</w:t>
            </w:r>
          </w:p>
        </w:tc>
        <w:tc>
          <w:tcPr>
            <w:tcW w:w="240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79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165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2016</w:t>
            </w:r>
          </w:p>
        </w:tc>
        <w:tc>
          <w:tcPr>
            <w:tcW w:w="240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79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657"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2017</w:t>
            </w:r>
          </w:p>
        </w:tc>
        <w:tc>
          <w:tcPr>
            <w:tcW w:w="240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79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657"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p>
        </w:tc>
        <w:tc>
          <w:tcPr>
            <w:tcW w:w="240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79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657"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2019</w:t>
            </w:r>
          </w:p>
        </w:tc>
        <w:tc>
          <w:tcPr>
            <w:tcW w:w="240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9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657"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2020</w:t>
            </w:r>
          </w:p>
        </w:tc>
        <w:tc>
          <w:tcPr>
            <w:tcW w:w="2406"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50</w:t>
            </w:r>
          </w:p>
        </w:tc>
        <w:tc>
          <w:tcPr>
            <w:tcW w:w="1794"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2</w:t>
            </w:r>
          </w:p>
        </w:tc>
        <w:tc>
          <w:tcPr>
            <w:tcW w:w="1657" w:type="dxa"/>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2021</w:t>
            </w:r>
          </w:p>
        </w:tc>
        <w:tc>
          <w:tcPr>
            <w:tcW w:w="2406"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41</w:t>
            </w:r>
          </w:p>
        </w:tc>
        <w:tc>
          <w:tcPr>
            <w:tcW w:w="179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657" w:type="dxa"/>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2022</w:t>
            </w:r>
          </w:p>
        </w:tc>
        <w:tc>
          <w:tcPr>
            <w:tcW w:w="2406"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43</w:t>
            </w:r>
          </w:p>
        </w:tc>
        <w:tc>
          <w:tcPr>
            <w:tcW w:w="1794"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8</w:t>
            </w:r>
          </w:p>
        </w:tc>
        <w:tc>
          <w:tcPr>
            <w:tcW w:w="1657" w:type="dxa"/>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51</w:t>
            </w:r>
          </w:p>
        </w:tc>
      </w:tr>
    </w:tbl>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从下图</w:t>
      </w:r>
      <w:r>
        <w:rPr>
          <w:rStyle w:val="11"/>
          <w:rFonts w:ascii="仿宋" w:hAnsi="仿宋" w:eastAsia="仿宋"/>
          <w:szCs w:val="32"/>
        </w:rPr>
        <w:t>可以看出，本学位点</w:t>
      </w:r>
      <w:r>
        <w:rPr>
          <w:rStyle w:val="11"/>
          <w:rFonts w:hint="eastAsia" w:ascii="仿宋" w:hAnsi="仿宋" w:eastAsia="仿宋"/>
          <w:szCs w:val="32"/>
        </w:rPr>
        <w:t>实际招生</w:t>
      </w:r>
      <w:r>
        <w:rPr>
          <w:rStyle w:val="11"/>
          <w:rFonts w:ascii="仿宋" w:hAnsi="仿宋" w:eastAsia="仿宋"/>
          <w:szCs w:val="32"/>
        </w:rPr>
        <w:t>人数</w:t>
      </w:r>
      <w:r>
        <w:rPr>
          <w:rStyle w:val="11"/>
          <w:rFonts w:hint="eastAsia" w:ascii="仿宋" w:hAnsi="仿宋" w:eastAsia="仿宋"/>
          <w:szCs w:val="32"/>
        </w:rPr>
        <w:t>（含</w:t>
      </w:r>
      <w:r>
        <w:rPr>
          <w:rStyle w:val="11"/>
          <w:rFonts w:ascii="仿宋" w:hAnsi="仿宋" w:eastAsia="仿宋"/>
          <w:szCs w:val="32"/>
        </w:rPr>
        <w:t>来华留学生</w:t>
      </w:r>
      <w:r>
        <w:rPr>
          <w:rStyle w:val="11"/>
          <w:rFonts w:hint="eastAsia" w:ascii="仿宋" w:hAnsi="仿宋" w:eastAsia="仿宋"/>
          <w:szCs w:val="32"/>
        </w:rPr>
        <w:t>）基本</w:t>
      </w:r>
      <w:r>
        <w:rPr>
          <w:rStyle w:val="11"/>
          <w:rFonts w:ascii="仿宋" w:hAnsi="仿宋" w:eastAsia="仿宋"/>
          <w:szCs w:val="32"/>
        </w:rPr>
        <w:t>呈增长趋势。</w:t>
      </w:r>
    </w:p>
    <w:p>
      <w:pPr>
        <w:widowControl/>
        <w:ind w:firstLine="420" w:firstLineChars="200"/>
        <w:textAlignment w:val="baseline"/>
      </w:pPr>
      <w:r>
        <w:drawing>
          <wp:inline distT="0" distB="0" distL="0" distR="0">
            <wp:extent cx="4283075" cy="2179955"/>
            <wp:effectExtent l="0" t="0" r="0" b="0"/>
            <wp:docPr id="82591408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ind w:firstLine="640" w:firstLineChars="200"/>
        <w:jc w:val="center"/>
        <w:textAlignment w:val="baseline"/>
        <w:rPr>
          <w:rFonts w:ascii="仿宋" w:hAnsi="仿宋" w:eastAsia="仿宋"/>
          <w:sz w:val="32"/>
          <w:szCs w:val="32"/>
        </w:rPr>
      </w:pPr>
      <w:r>
        <w:rPr>
          <w:rStyle w:val="11"/>
          <w:rFonts w:hint="eastAsia" w:ascii="仿宋" w:hAnsi="仿宋" w:eastAsia="仿宋"/>
          <w:szCs w:val="32"/>
        </w:rPr>
        <w:t>本学位点</w:t>
      </w:r>
      <w:r>
        <w:rPr>
          <w:rStyle w:val="11"/>
          <w:rFonts w:ascii="仿宋" w:hAnsi="仿宋" w:eastAsia="仿宋"/>
          <w:szCs w:val="32"/>
        </w:rPr>
        <w:t>毕业生</w:t>
      </w:r>
      <w:r>
        <w:rPr>
          <w:rStyle w:val="11"/>
          <w:rFonts w:hint="eastAsia" w:ascii="仿宋" w:hAnsi="仿宋" w:eastAsia="仿宋"/>
          <w:szCs w:val="32"/>
        </w:rPr>
        <w:t>就业</w:t>
      </w:r>
      <w:r>
        <w:rPr>
          <w:rStyle w:val="11"/>
          <w:rFonts w:ascii="仿宋" w:hAnsi="仿宋" w:eastAsia="仿宋"/>
          <w:szCs w:val="32"/>
        </w:rPr>
        <w:t>状况良好，就业</w:t>
      </w:r>
      <w:r>
        <w:rPr>
          <w:rStyle w:val="11"/>
          <w:rFonts w:hint="eastAsia" w:ascii="仿宋" w:hAnsi="仿宋" w:eastAsia="仿宋"/>
          <w:szCs w:val="32"/>
        </w:rPr>
        <w:t>去向</w:t>
      </w:r>
      <w:r>
        <w:rPr>
          <w:rStyle w:val="11"/>
          <w:rFonts w:ascii="仿宋" w:hAnsi="仿宋" w:eastAsia="仿宋"/>
          <w:szCs w:val="32"/>
        </w:rPr>
        <w:t>多集中在教育行业领域</w:t>
      </w:r>
      <w:r>
        <w:rPr>
          <w:rStyle w:val="11"/>
          <w:rFonts w:hint="eastAsia" w:ascii="仿宋" w:hAnsi="仿宋" w:eastAsia="仿宋"/>
          <w:szCs w:val="32"/>
        </w:rPr>
        <w:t>。2022届毕业生（中国学生）毕业去向如下图所示：</w:t>
      </w:r>
      <w:r>
        <w:drawing>
          <wp:inline distT="0" distB="0" distL="0" distR="0">
            <wp:extent cx="4670425" cy="292608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widowControl/>
        <w:ind w:firstLine="420" w:firstLineChars="200"/>
        <w:textAlignment w:val="baseline"/>
        <w:rPr>
          <w:rStyle w:val="11"/>
          <w:rFonts w:ascii="仿宋" w:hAnsi="仿宋" w:eastAsia="仿宋"/>
          <w:szCs w:val="32"/>
        </w:rPr>
      </w:pPr>
      <w:r>
        <w:drawing>
          <wp:anchor distT="0" distB="0" distL="114300" distR="114300" simplePos="0" relativeHeight="251659264" behindDoc="0" locked="0" layoutInCell="1" allowOverlap="1">
            <wp:simplePos x="0" y="0"/>
            <wp:positionH relativeFrom="column">
              <wp:posOffset>466090</wp:posOffset>
            </wp:positionH>
            <wp:positionV relativeFrom="paragraph">
              <wp:posOffset>189865</wp:posOffset>
            </wp:positionV>
            <wp:extent cx="4325620" cy="2217420"/>
            <wp:effectExtent l="0" t="0" r="0" b="0"/>
            <wp:wrapSquare wrapText="bothSides"/>
            <wp:docPr id="213725475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Style w:val="11"/>
          <w:rFonts w:hint="eastAsia" w:ascii="仿宋" w:hAnsi="仿宋" w:eastAsia="仿宋"/>
          <w:szCs w:val="32"/>
        </w:rPr>
        <w:t>可以看出，2022届毕业生毕业去向仍以教育行业为主；同时，受疫情形势的影响，没有同学选择出国工作、海外读博，选择事业单位就业的人数明显增加。</w:t>
      </w:r>
    </w:p>
    <w:p>
      <w:pPr>
        <w:pStyle w:val="2"/>
        <w:spacing w:line="240" w:lineRule="auto"/>
        <w:ind w:firstLine="643"/>
        <w:jc w:val="left"/>
        <w:rPr>
          <w:rFonts w:ascii="仿宋" w:hAnsi="仿宋" w:eastAsia="仿宋"/>
          <w:b/>
          <w:sz w:val="32"/>
        </w:rPr>
      </w:pPr>
      <w:r>
        <w:rPr>
          <w:rFonts w:hint="eastAsia" w:ascii="仿宋" w:hAnsi="仿宋" w:eastAsia="仿宋"/>
          <w:b/>
          <w:sz w:val="32"/>
        </w:rPr>
        <w:t>（3）</w:t>
      </w:r>
      <w:r>
        <w:rPr>
          <w:rFonts w:ascii="仿宋" w:hAnsi="仿宋" w:eastAsia="仿宋"/>
          <w:b/>
          <w:sz w:val="32"/>
        </w:rPr>
        <w:t>课程建设与</w:t>
      </w:r>
      <w:r>
        <w:rPr>
          <w:rFonts w:hint="eastAsia" w:ascii="仿宋" w:hAnsi="仿宋" w:eastAsia="仿宋"/>
          <w:b/>
          <w:sz w:val="32"/>
        </w:rPr>
        <w:t>实施</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本学位点重视</w:t>
      </w:r>
      <w:r>
        <w:rPr>
          <w:rStyle w:val="11"/>
          <w:rFonts w:ascii="仿宋" w:hAnsi="仿宋" w:eastAsia="仿宋"/>
          <w:szCs w:val="32"/>
        </w:rPr>
        <w:t>课程教学质量和教育教学改革。</w:t>
      </w:r>
      <w:r>
        <w:rPr>
          <w:rStyle w:val="11"/>
          <w:rFonts w:hint="eastAsia" w:ascii="仿宋" w:hAnsi="仿宋" w:eastAsia="仿宋"/>
          <w:szCs w:val="32"/>
        </w:rPr>
        <w:t>课程体系以国家战略和社会需求为导向，依据《国际汉语教师标准》，参照汉语国际教育硕士教学指导委员会培养方案并结合学校学科特点形成。课程设置以国际汉语教师的职业能力培养为核心，以核心课程为主导，以模块拓展为补充，以实践训练为重点，分为必修课和选修课，最低学分要求为</w:t>
      </w:r>
      <w:r>
        <w:rPr>
          <w:rStyle w:val="11"/>
          <w:rFonts w:ascii="仿宋" w:hAnsi="仿宋" w:eastAsia="仿宋"/>
          <w:szCs w:val="32"/>
        </w:rPr>
        <w:t>41</w:t>
      </w:r>
      <w:r>
        <w:rPr>
          <w:rStyle w:val="11"/>
          <w:rFonts w:hint="eastAsia" w:ascii="仿宋" w:hAnsi="仿宋" w:eastAsia="仿宋"/>
          <w:szCs w:val="32"/>
        </w:rPr>
        <w:t>学分，并专门设置实践环节的学分要求。</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2022年</w:t>
      </w:r>
      <w:r>
        <w:rPr>
          <w:rStyle w:val="11"/>
          <w:rFonts w:ascii="仿宋" w:hAnsi="仿宋" w:eastAsia="仿宋"/>
          <w:szCs w:val="32"/>
        </w:rPr>
        <w:t>，本学位点</w:t>
      </w:r>
      <w:r>
        <w:rPr>
          <w:rStyle w:val="11"/>
          <w:rFonts w:hint="eastAsia" w:ascii="仿宋" w:hAnsi="仿宋" w:eastAsia="仿宋"/>
          <w:szCs w:val="32"/>
        </w:rPr>
        <w:t>为</w:t>
      </w:r>
      <w:r>
        <w:rPr>
          <w:rStyle w:val="11"/>
          <w:rFonts w:ascii="仿宋" w:hAnsi="仿宋" w:eastAsia="仿宋"/>
          <w:szCs w:val="32"/>
        </w:rPr>
        <w:t>进一步优化培养方案，</w:t>
      </w:r>
      <w:r>
        <w:rPr>
          <w:rStyle w:val="11"/>
          <w:rFonts w:hint="eastAsia" w:ascii="仿宋" w:hAnsi="仿宋" w:eastAsia="仿宋"/>
          <w:szCs w:val="32"/>
        </w:rPr>
        <w:t>规范课程管理，实现精细化培养，将《学术论文阅读与写作》课程名称修改为《学术阅读与写作》、《禅宗与诗学》课程名称改成《佛禅与诗》；《国际传播研究》申请由学术硕士课转为专业硕士课；将中国现当代文学学术型硕士、中国古代文学学术型硕士培养计划专业选修课中的语言类课程去除掉，将语言学及应用语言学学术型硕士培养计划专业选修课中的文学类课程去除掉。</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课程体系更加注重融入应用能力和职业能力培养，着重培养学生的汉语作为第二语言教学能力、中华文化传播能力和跨文化交际能力，专门设立了提升国际汉语教师课堂教学能力、商务汉语教学能力、教育技术资源运用能力和教育项目管理能力的特色课程，如《商务汉语教学概论》、《汉语国际教育技术与资源》、《区域经济与文化》、《文化项目策划与管理》等。同时设置了第二外语、《跨文化沟通》及多门商务知识课程，提升学生的语言教学能力和商务知识水平。</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课程教学将案例分析、教学操练、课堂观摩、专题讲座等有机融合，组织学生体验真实汉语课堂，邀请业界名家走进课堂分享。鼓励学生积极参加“汉教英雄会”“汉语教学微课大赛”等活动，提升实践能力。</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w:t>
      </w:r>
      <w:r>
        <w:rPr>
          <w:rStyle w:val="11"/>
          <w:rFonts w:ascii="仿宋" w:hAnsi="仿宋" w:eastAsia="仿宋"/>
          <w:szCs w:val="32"/>
        </w:rPr>
        <w:t>点</w:t>
      </w:r>
      <w:r>
        <w:rPr>
          <w:rStyle w:val="11"/>
          <w:rFonts w:hint="eastAsia" w:ascii="仿宋" w:hAnsi="仿宋" w:eastAsia="仿宋"/>
          <w:szCs w:val="32"/>
        </w:rPr>
        <w:t>积极推进</w:t>
      </w:r>
      <w:r>
        <w:rPr>
          <w:rStyle w:val="11"/>
          <w:rFonts w:ascii="仿宋" w:hAnsi="仿宋" w:eastAsia="仿宋"/>
          <w:szCs w:val="32"/>
        </w:rPr>
        <w:t>课程思政建设全覆盖</w:t>
      </w:r>
      <w:r>
        <w:rPr>
          <w:rStyle w:val="11"/>
          <w:rFonts w:hint="eastAsia" w:ascii="仿宋" w:hAnsi="仿宋" w:eastAsia="仿宋"/>
          <w:szCs w:val="32"/>
        </w:rPr>
        <w:t>，开展</w:t>
      </w:r>
      <w:r>
        <w:rPr>
          <w:rStyle w:val="11"/>
          <w:rFonts w:ascii="仿宋" w:hAnsi="仿宋" w:eastAsia="仿宋"/>
          <w:szCs w:val="32"/>
        </w:rPr>
        <w:t>课程思政建设项目</w:t>
      </w:r>
      <w:r>
        <w:rPr>
          <w:rStyle w:val="11"/>
          <w:rFonts w:hint="eastAsia" w:ascii="仿宋" w:hAnsi="仿宋" w:eastAsia="仿宋"/>
          <w:szCs w:val="32"/>
        </w:rPr>
        <w:t>。通过开展“课程思政”座谈会学习相关指示精神，本专业学位教师对课程中的思政元素进行了深入挖掘，多门课程与党和国家的政策、路线、方针、战略的结合程度得到了进一步加强。目前已有5门课程获得学校“课程思政”建设立项。2021年，</w:t>
      </w:r>
      <w:r>
        <w:rPr>
          <w:rStyle w:val="11"/>
          <w:rFonts w:ascii="仿宋" w:hAnsi="仿宋" w:eastAsia="仿宋"/>
          <w:szCs w:val="32"/>
        </w:rPr>
        <w:t>《</w:t>
      </w:r>
      <w:r>
        <w:rPr>
          <w:rStyle w:val="11"/>
          <w:rFonts w:hint="eastAsia" w:ascii="仿宋" w:hAnsi="仿宋" w:eastAsia="仿宋"/>
          <w:szCs w:val="32"/>
        </w:rPr>
        <w:t>区域经济与文化</w:t>
      </w:r>
      <w:r>
        <w:rPr>
          <w:rStyle w:val="11"/>
          <w:rFonts w:ascii="仿宋" w:hAnsi="仿宋" w:eastAsia="仿宋"/>
          <w:szCs w:val="32"/>
        </w:rPr>
        <w:t>》</w:t>
      </w:r>
      <w:r>
        <w:rPr>
          <w:rStyle w:val="11"/>
          <w:rFonts w:hint="eastAsia" w:ascii="仿宋" w:hAnsi="仿宋" w:eastAsia="仿宋"/>
          <w:szCs w:val="32"/>
        </w:rPr>
        <w:t>课程圆满完成</w:t>
      </w:r>
      <w:r>
        <w:rPr>
          <w:rStyle w:val="11"/>
          <w:rFonts w:ascii="仿宋" w:hAnsi="仿宋" w:eastAsia="仿宋"/>
          <w:szCs w:val="32"/>
        </w:rPr>
        <w:t>课程思政建设</w:t>
      </w:r>
      <w:r>
        <w:rPr>
          <w:rStyle w:val="11"/>
          <w:rFonts w:hint="eastAsia" w:ascii="仿宋" w:hAnsi="仿宋" w:eastAsia="仿宋"/>
          <w:szCs w:val="32"/>
        </w:rPr>
        <w:t>项目。《国别化汉语教学专题》将“一带一路”、“人类命运共同体”等理念融入课程教学，帮助学生树立了正确的文化传播观，增强了“四个自信”。</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课程体系契合了汉语国际教育专业学位的培养目标，响应了国际中文教育领域对高层次、应用型、复合型人才的需求。</w:t>
      </w:r>
    </w:p>
    <w:p>
      <w:pPr>
        <w:pStyle w:val="2"/>
        <w:spacing w:line="240" w:lineRule="auto"/>
        <w:ind w:firstLine="643"/>
        <w:jc w:val="left"/>
        <w:rPr>
          <w:rFonts w:ascii="仿宋" w:hAnsi="仿宋" w:eastAsia="仿宋"/>
          <w:b/>
          <w:sz w:val="32"/>
        </w:rPr>
      </w:pPr>
      <w:r>
        <w:rPr>
          <w:rFonts w:hint="eastAsia" w:ascii="仿宋" w:hAnsi="仿宋" w:eastAsia="仿宋"/>
          <w:b/>
          <w:sz w:val="32"/>
        </w:rPr>
        <w:t>（4）学位授予</w:t>
      </w:r>
      <w:r>
        <w:rPr>
          <w:rFonts w:ascii="仿宋" w:hAnsi="仿宋" w:eastAsia="仿宋"/>
          <w:b/>
          <w:sz w:val="32"/>
        </w:rPr>
        <w:t>质量保障体系</w:t>
      </w:r>
      <w:r>
        <w:rPr>
          <w:rFonts w:hint="eastAsia" w:ascii="仿宋" w:hAnsi="仿宋" w:eastAsia="仿宋"/>
          <w:b/>
          <w:sz w:val="32"/>
        </w:rPr>
        <w:t>建设</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为保证学位论文质量，本学位点严格执行校、院学位论文撰写相关规定，在论文开题、评阅和答辩各个环节严格要求。本学位点专门建有汉语国际教育硕士学位论文数据库，收集国内有代表性培养院校的学位论文，并对学位论文选题、研究方法、文献引用等各个方面进行分析，以供学位论文撰写参考。论文开题在毕业年级秋季学期开学之初进行，部分论文在开题阶段就有校外专家参与；学位论文</w:t>
      </w:r>
      <w:r>
        <w:rPr>
          <w:rStyle w:val="11"/>
          <w:rFonts w:ascii="仿宋" w:hAnsi="仿宋" w:eastAsia="仿宋"/>
          <w:szCs w:val="32"/>
        </w:rPr>
        <w:t>全部</w:t>
      </w:r>
      <w:r>
        <w:rPr>
          <w:rStyle w:val="11"/>
          <w:rFonts w:hint="eastAsia" w:ascii="仿宋" w:hAnsi="仿宋" w:eastAsia="仿宋"/>
          <w:szCs w:val="32"/>
        </w:rPr>
        <w:t>送</w:t>
      </w:r>
      <w:r>
        <w:rPr>
          <w:rStyle w:val="11"/>
          <w:rFonts w:ascii="仿宋" w:hAnsi="仿宋" w:eastAsia="仿宋"/>
          <w:szCs w:val="32"/>
        </w:rPr>
        <w:t>校外盲审，</w:t>
      </w:r>
      <w:r>
        <w:rPr>
          <w:rStyle w:val="11"/>
          <w:rFonts w:hint="eastAsia" w:ascii="仿宋" w:hAnsi="仿宋" w:eastAsia="仿宋"/>
          <w:szCs w:val="32"/>
        </w:rPr>
        <w:t>要求校外盲审未通过或评分较低者，重新选题或进行大幅度修改；论文答辩主席全部由校外专家担任，规避情面因素对学位论文答辩成绩的影响</w:t>
      </w:r>
      <w:r>
        <w:rPr>
          <w:rStyle w:val="11"/>
          <w:rFonts w:ascii="仿宋" w:hAnsi="仿宋" w:eastAsia="仿宋"/>
          <w:szCs w:val="32"/>
        </w:rPr>
        <w:t>。</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202</w:t>
      </w:r>
      <w:r>
        <w:rPr>
          <w:rStyle w:val="11"/>
          <w:rFonts w:hint="eastAsia" w:ascii="仿宋" w:hAnsi="仿宋" w:eastAsia="仿宋"/>
          <w:szCs w:val="32"/>
        </w:rPr>
        <w:t>2年，本学位点43篇学位论文参与学位论文答辩，全部通过。</w:t>
      </w:r>
    </w:p>
    <w:p>
      <w:pPr>
        <w:pStyle w:val="2"/>
        <w:spacing w:line="240" w:lineRule="auto"/>
        <w:ind w:firstLine="643"/>
        <w:jc w:val="left"/>
        <w:rPr>
          <w:rFonts w:ascii="仿宋" w:hAnsi="仿宋" w:eastAsia="仿宋"/>
          <w:b/>
          <w:sz w:val="32"/>
        </w:rPr>
      </w:pPr>
      <w:r>
        <w:rPr>
          <w:rFonts w:hint="eastAsia" w:ascii="仿宋" w:hAnsi="仿宋" w:eastAsia="仿宋"/>
          <w:b/>
          <w:sz w:val="32"/>
        </w:rPr>
        <w:t>（5）思想政治</w:t>
      </w:r>
      <w:r>
        <w:rPr>
          <w:rFonts w:ascii="仿宋" w:hAnsi="仿宋" w:eastAsia="仿宋"/>
          <w:b/>
          <w:sz w:val="32"/>
        </w:rPr>
        <w:t>教育</w:t>
      </w:r>
      <w:r>
        <w:rPr>
          <w:rFonts w:hint="eastAsia" w:ascii="仿宋" w:hAnsi="仿宋" w:eastAsia="仿宋"/>
          <w:b/>
          <w:sz w:val="32"/>
        </w:rPr>
        <w:t>工作</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积极贯彻上级部署，坚持立德树人，统筹推进“三全育人”格局，强化理念创新和制度设计，注重精准精细和卓有实效，促进学生全面发展。注重建立课堂教学和思政工作的双向延伸，依据学校出台的《“课程思政”建设指导意见》、《“课程思政”建设工作方案》等，通过教师党支部、学系定期组织“课程思政”专项研讨会，统筹推进“课程思政”建设。定期开展“课程思政”教师沙龙、“最美课堂”示范等活 动，带动师生群策群力，充分挖掘课程内容中的思政元素，形成一批有特色的示范性思政课堂。</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不断强化党建工作特色，以第二批全国党建工作样板支部本科生党支部为标杆，同标准、同进度、同资源开展研究生党建工作，鼓励学生积极参加“研马班”学习活动。连续多年坚持开展“汉教硕士在‘中华文化走出去’过程中的使命与担当”、“新形势下国际中文教育的挑战与应对”等主题的“党委书记讲党课”活动。通过微信公众号、微党课、微讲堂、微交流、微汇报、微榜样和微公益等打造党建“七微”范式。每年组织主题党日、红色“1+1”、党支部精品项目等活动，形成联动辐射效应。</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加强出国学生思想政治工作，研工部、国际商务汉语教学与资源开发基地、国际处、中国语言文学学院等多部门联动，对赴海外实习学生开展行前培训、过程指导和返校后交流。组织研究生参加国庆70周年、中华诵、汉语桥等大型活动，厚植家国情怀，传播语言文化。以“一带一路”、“人类命运共同体”等为主题，发动包括来华留学生在内的汉硕同学讲好中国故事、传播好中国声音，增进世界对中国的认同。综合运用党史、国史、校史素材，培育和建设“辅导员工作室”，打造思政育人队伍。</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2022</w:t>
      </w:r>
      <w:r>
        <w:rPr>
          <w:rStyle w:val="11"/>
          <w:rFonts w:hint="eastAsia" w:ascii="仿宋" w:hAnsi="仿宋" w:eastAsia="仿宋"/>
          <w:szCs w:val="32"/>
        </w:rPr>
        <w:t>年</w:t>
      </w:r>
      <w:r>
        <w:rPr>
          <w:rStyle w:val="11"/>
          <w:rFonts w:ascii="仿宋" w:hAnsi="仿宋" w:eastAsia="仿宋"/>
          <w:szCs w:val="32"/>
        </w:rPr>
        <w:t>7</w:t>
      </w:r>
      <w:r>
        <w:rPr>
          <w:rStyle w:val="11"/>
          <w:rFonts w:hint="eastAsia" w:ascii="仿宋" w:hAnsi="仿宋" w:eastAsia="仿宋"/>
          <w:szCs w:val="32"/>
        </w:rPr>
        <w:t>月，本学位点继续</w:t>
      </w:r>
      <w:r>
        <w:rPr>
          <w:rStyle w:val="11"/>
          <w:rFonts w:ascii="仿宋" w:hAnsi="仿宋" w:eastAsia="仿宋"/>
          <w:szCs w:val="32"/>
        </w:rPr>
        <w:t>开展</w:t>
      </w:r>
      <w:r>
        <w:rPr>
          <w:rStyle w:val="11"/>
          <w:rFonts w:hint="eastAsia" w:ascii="仿宋" w:hAnsi="仿宋" w:eastAsia="仿宋"/>
          <w:szCs w:val="32"/>
        </w:rPr>
        <w:t>“惠文使者会客厅”活动</w:t>
      </w:r>
      <w:r>
        <w:rPr>
          <w:rStyle w:val="11"/>
          <w:rFonts w:ascii="仿宋" w:hAnsi="仿宋" w:eastAsia="仿宋"/>
          <w:szCs w:val="32"/>
        </w:rPr>
        <w:t>，作为学院高质量发展思想大讨论的活动之一。</w:t>
      </w:r>
      <w:r>
        <w:rPr>
          <w:rStyle w:val="11"/>
          <w:rFonts w:hint="eastAsia" w:ascii="仿宋" w:hAnsi="仿宋" w:eastAsia="仿宋"/>
          <w:szCs w:val="32"/>
        </w:rPr>
        <w:t>四位在海外不同国家或</w:t>
      </w:r>
      <w:r>
        <w:rPr>
          <w:rStyle w:val="11"/>
          <w:rFonts w:ascii="仿宋" w:hAnsi="仿宋" w:eastAsia="仿宋"/>
          <w:szCs w:val="32"/>
        </w:rPr>
        <w:t>即将赴海外</w:t>
      </w:r>
      <w:r>
        <w:rPr>
          <w:rStyle w:val="11"/>
          <w:rFonts w:hint="eastAsia" w:ascii="仿宋" w:hAnsi="仿宋" w:eastAsia="仿宋"/>
          <w:szCs w:val="32"/>
        </w:rPr>
        <w:t>从事汉语教学的志愿者同学与在大家一起相约线上，介绍不同国家和地区的疫情防控政策，对比国内与国外在疫情形势下工作安排、生活质量、社会秩序等差异，藉此感悟祖国伟大，从而增强制度自信。这也是我们开展外派志愿者岗中培训及思政教育工作的一部分。</w:t>
      </w:r>
    </w:p>
    <w:p>
      <w:pPr>
        <w:pStyle w:val="2"/>
        <w:spacing w:line="240" w:lineRule="auto"/>
        <w:ind w:firstLine="643"/>
        <w:jc w:val="left"/>
        <w:rPr>
          <w:rFonts w:ascii="仿宋" w:hAnsi="仿宋" w:eastAsia="仿宋"/>
          <w:b/>
          <w:sz w:val="32"/>
        </w:rPr>
      </w:pPr>
      <w:r>
        <w:rPr>
          <w:rFonts w:hint="eastAsia" w:ascii="仿宋" w:hAnsi="仿宋" w:eastAsia="仿宋"/>
          <w:b/>
          <w:sz w:val="32"/>
        </w:rPr>
        <w:t>（6）</w:t>
      </w:r>
      <w:r>
        <w:rPr>
          <w:rFonts w:ascii="仿宋" w:hAnsi="仿宋" w:eastAsia="仿宋"/>
          <w:b/>
          <w:sz w:val="32"/>
        </w:rPr>
        <w:t>国际交流</w:t>
      </w:r>
      <w:r>
        <w:rPr>
          <w:rFonts w:hint="eastAsia" w:ascii="仿宋" w:hAnsi="仿宋" w:eastAsia="仿宋"/>
          <w:b/>
          <w:sz w:val="32"/>
        </w:rPr>
        <w:t>与</w:t>
      </w:r>
      <w:r>
        <w:rPr>
          <w:rFonts w:ascii="仿宋" w:hAnsi="仿宋" w:eastAsia="仿宋"/>
          <w:b/>
          <w:sz w:val="32"/>
        </w:rPr>
        <w:t>合作</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本学位点重视国际化特色培养，每年邀请来自</w:t>
      </w:r>
      <w:r>
        <w:rPr>
          <w:rStyle w:val="11"/>
          <w:rFonts w:ascii="仿宋" w:hAnsi="仿宋" w:eastAsia="仿宋"/>
          <w:szCs w:val="32"/>
        </w:rPr>
        <w:t>剑桥大学、斯坦福大学、威廉文理学院、杜克大学</w:t>
      </w:r>
      <w:r>
        <w:rPr>
          <w:rStyle w:val="11"/>
          <w:rFonts w:hint="eastAsia" w:ascii="仿宋" w:hAnsi="仿宋" w:eastAsia="仿宋"/>
          <w:szCs w:val="32"/>
        </w:rPr>
        <w:t>、</w:t>
      </w:r>
      <w:r>
        <w:rPr>
          <w:rStyle w:val="11"/>
          <w:rFonts w:ascii="仿宋" w:hAnsi="仿宋" w:eastAsia="仿宋"/>
          <w:szCs w:val="32"/>
        </w:rPr>
        <w:t>爱荷华大学等学校的知名</w:t>
      </w:r>
      <w:r>
        <w:rPr>
          <w:rStyle w:val="11"/>
          <w:rFonts w:hint="eastAsia" w:ascii="仿宋" w:hAnsi="仿宋" w:eastAsia="仿宋"/>
          <w:szCs w:val="32"/>
        </w:rPr>
        <w:t>学者</w:t>
      </w:r>
      <w:r>
        <w:rPr>
          <w:rStyle w:val="11"/>
          <w:rFonts w:ascii="仿宋" w:hAnsi="仿宋" w:eastAsia="仿宋"/>
          <w:szCs w:val="32"/>
        </w:rPr>
        <w:t>来校进行授课。</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w:t>
      </w:r>
      <w:r>
        <w:rPr>
          <w:rStyle w:val="11"/>
          <w:rFonts w:ascii="仿宋" w:hAnsi="仿宋" w:eastAsia="仿宋"/>
          <w:szCs w:val="32"/>
        </w:rPr>
        <w:t>学位点鼓励学生赴海外进行中文教学和文化传播工作。</w:t>
      </w:r>
      <w:r>
        <w:rPr>
          <w:rStyle w:val="11"/>
          <w:rFonts w:hint="eastAsia" w:ascii="仿宋" w:hAnsi="仿宋" w:eastAsia="仿宋"/>
          <w:szCs w:val="32"/>
        </w:rPr>
        <w:t>2016年至今，1</w:t>
      </w:r>
      <w:r>
        <w:rPr>
          <w:rStyle w:val="11"/>
          <w:rFonts w:ascii="仿宋" w:hAnsi="仿宋" w:eastAsia="仿宋"/>
          <w:szCs w:val="32"/>
        </w:rPr>
        <w:t>1</w:t>
      </w:r>
      <w:r>
        <w:rPr>
          <w:rStyle w:val="11"/>
          <w:rFonts w:hint="eastAsia" w:ascii="仿宋" w:hAnsi="仿宋" w:eastAsia="仿宋"/>
          <w:szCs w:val="32"/>
        </w:rPr>
        <w:t>0余名研究生作为国家汉办汉语志愿者教师或校际合作项目被派往六大洲</w:t>
      </w:r>
      <w:r>
        <w:rPr>
          <w:rStyle w:val="11"/>
          <w:rFonts w:ascii="仿宋" w:hAnsi="仿宋" w:eastAsia="仿宋"/>
          <w:szCs w:val="32"/>
        </w:rPr>
        <w:t>32</w:t>
      </w:r>
      <w:r>
        <w:rPr>
          <w:rStyle w:val="11"/>
          <w:rFonts w:hint="eastAsia" w:ascii="仿宋" w:hAnsi="仿宋" w:eastAsia="仿宋"/>
          <w:szCs w:val="32"/>
        </w:rPr>
        <w:t>个国家从事汉语教学和中华文化传播工作，包括派往美国、英国、德国、澳大利亚、印度尼西亚、新西兰、希腊、爱尔兰、匈牙利、保加利亚、波兰、韩国、泰国、马拉维、斯里兰卡、哥斯达黎加、白俄罗斯、老挝等，充分彰显了中华文化魅力。2015-2018级同学出国实习比例达69%，截至目前，疫情对出国实习的影响也在逐步减少，2021级出国实习比例达到52%。2015级曹欣研、王楚怡和2016级霍文卉指导英国学生参加了汉语桥比赛，均获得英国赛区优异成绩。在国外从事教学过程中数人次获得“优秀志愿者”、“优秀教师”等殊荣。</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本学位点鼓励学生围绕“一带一路”国家和地区开展调研，赴相关国家开展海外实习。2015 级韩亚兰、高欣赴马拉维，2015级康娜赴莫桑比克等国家孔子学院开展教学实习。围绕“脱贫攻坚”等主题，先后有多名学生通过寒假社会调研、宣讲等形式开展实践活动，形成高质量社会实践报告。实践育人活动提升了学生服务国家“一带一路”战略、脱贫攻坚战略的意识和能力，也帮助学生树立了正确的职业观，本专业学位就业质量和匹配程度呈现双高特点。</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202</w:t>
      </w:r>
      <w:r>
        <w:rPr>
          <w:rStyle w:val="11"/>
          <w:rFonts w:hint="eastAsia" w:ascii="仿宋" w:hAnsi="仿宋" w:eastAsia="仿宋"/>
          <w:szCs w:val="32"/>
        </w:rPr>
        <w:t>2年，本学位点先后有20名同学以国际中文教师志愿者身份赴俄罗斯、英国、泰国、韩国、埃及、希腊、阿塞拜疆、拉脱维亚、阿联酋、柬埔寨等国开展汉语教学实习。</w:t>
      </w:r>
    </w:p>
    <w:p>
      <w:pPr>
        <w:ind w:left="-567" w:leftChars="-270"/>
        <w:rPr>
          <w:szCs w:val="21"/>
        </w:rPr>
      </w:pPr>
      <w:r>
        <w:drawing>
          <wp:inline distT="0" distB="0" distL="0" distR="0">
            <wp:extent cx="6210300" cy="4318635"/>
            <wp:effectExtent l="0" t="0" r="0" b="0"/>
            <wp:docPr id="150349414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420" w:firstLineChars="200"/>
      </w:pPr>
    </w:p>
    <w:p>
      <w:pPr>
        <w:pStyle w:val="2"/>
        <w:spacing w:line="240" w:lineRule="auto"/>
        <w:ind w:firstLine="643"/>
        <w:jc w:val="left"/>
        <w:rPr>
          <w:rFonts w:ascii="仿宋" w:hAnsi="仿宋" w:eastAsia="仿宋"/>
          <w:b/>
          <w:sz w:val="32"/>
        </w:rPr>
      </w:pPr>
      <w:r>
        <w:rPr>
          <w:rFonts w:hint="eastAsia" w:ascii="仿宋" w:hAnsi="仿宋" w:eastAsia="仿宋"/>
          <w:b/>
          <w:sz w:val="32"/>
        </w:rPr>
        <w:t>（7）专业实践基地建设</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学位</w:t>
      </w:r>
      <w:r>
        <w:rPr>
          <w:rStyle w:val="11"/>
          <w:rFonts w:hint="eastAsia" w:ascii="仿宋" w:hAnsi="仿宋" w:eastAsia="仿宋"/>
          <w:szCs w:val="32"/>
        </w:rPr>
        <w:t>点</w:t>
      </w:r>
      <w:r>
        <w:rPr>
          <w:rStyle w:val="11"/>
          <w:rFonts w:ascii="仿宋" w:hAnsi="仿宋" w:eastAsia="仿宋"/>
          <w:szCs w:val="32"/>
        </w:rPr>
        <w:t>与实习基地联合培养，校内导师与实践导师共同指导。充分利用丰富的校内实践资源是本专业学位的特色与优势。学校现有来华留学生数量2500 余人，包含学历生、语言生、预科生等，同时有商务汉语教学与资源开发基地、中国学中心（TBC）、美国杜克大学暑期项目等，教学实践资源丰富。</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学校与美国、英国、希腊、俄罗斯、澳大利亚等国高校共建 10 所孔子学院，与国内部分中小学、教育培训机构建立了长期稳定的合作。海外孔子学院与国内实习基地组成了成熟稳定的实践导师队伍，校内导师为学生推荐实习机会，实践导师对学生专业实践进行指导。</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2022年</w:t>
      </w:r>
      <w:r>
        <w:rPr>
          <w:rStyle w:val="11"/>
          <w:rFonts w:ascii="仿宋" w:hAnsi="仿宋" w:eastAsia="仿宋"/>
          <w:szCs w:val="32"/>
        </w:rPr>
        <w:t>，本学位点继续积极推进专业实践基地建设</w:t>
      </w:r>
      <w:r>
        <w:rPr>
          <w:rStyle w:val="11"/>
          <w:rFonts w:hint="eastAsia" w:ascii="仿宋" w:hAnsi="仿宋" w:eastAsia="仿宋"/>
          <w:szCs w:val="32"/>
        </w:rPr>
        <w:t>。</w:t>
      </w:r>
      <w:r>
        <w:rPr>
          <w:rStyle w:val="11"/>
          <w:rFonts w:ascii="仿宋" w:hAnsi="仿宋" w:eastAsia="仿宋"/>
          <w:szCs w:val="32"/>
        </w:rPr>
        <w:t>结合</w:t>
      </w:r>
      <w:r>
        <w:rPr>
          <w:rStyle w:val="11"/>
          <w:rFonts w:hint="eastAsia" w:ascii="仿宋" w:hAnsi="仿宋" w:eastAsia="仿宋"/>
          <w:szCs w:val="32"/>
        </w:rPr>
        <w:t>汉语国际教育</w:t>
      </w:r>
      <w:r>
        <w:rPr>
          <w:rStyle w:val="11"/>
          <w:rFonts w:ascii="仿宋" w:hAnsi="仿宋" w:eastAsia="仿宋"/>
          <w:szCs w:val="32"/>
        </w:rPr>
        <w:t>学科特点及学生毕业实际去向，202</w:t>
      </w:r>
      <w:r>
        <w:rPr>
          <w:rStyle w:val="11"/>
          <w:rFonts w:hint="eastAsia" w:ascii="仿宋" w:hAnsi="仿宋" w:eastAsia="仿宋"/>
          <w:szCs w:val="32"/>
        </w:rPr>
        <w:t>2年度</w:t>
      </w:r>
      <w:r>
        <w:rPr>
          <w:rStyle w:val="11"/>
          <w:rFonts w:ascii="仿宋" w:hAnsi="仿宋" w:eastAsia="仿宋"/>
          <w:szCs w:val="32"/>
        </w:rPr>
        <w:t>，</w:t>
      </w:r>
      <w:r>
        <w:rPr>
          <w:rStyle w:val="11"/>
          <w:rFonts w:hint="eastAsia" w:ascii="仿宋" w:hAnsi="仿宋" w:eastAsia="仿宋"/>
          <w:szCs w:val="32"/>
        </w:rPr>
        <w:t>本学位点有校外实习实训</w:t>
      </w:r>
      <w:r>
        <w:rPr>
          <w:rStyle w:val="11"/>
          <w:rFonts w:ascii="仿宋" w:hAnsi="仿宋" w:eastAsia="仿宋"/>
          <w:szCs w:val="32"/>
        </w:rPr>
        <w:t>基地</w:t>
      </w:r>
      <w:r>
        <w:rPr>
          <w:rStyle w:val="11"/>
          <w:rFonts w:hint="eastAsia" w:ascii="仿宋" w:hAnsi="仿宋" w:eastAsia="仿宋"/>
          <w:szCs w:val="32"/>
        </w:rPr>
        <w:t>4</w:t>
      </w:r>
      <w:r>
        <w:rPr>
          <w:rStyle w:val="11"/>
          <w:rFonts w:ascii="仿宋" w:hAnsi="仿宋" w:eastAsia="仿宋"/>
          <w:szCs w:val="32"/>
        </w:rPr>
        <w:t>家</w:t>
      </w:r>
      <w:r>
        <w:rPr>
          <w:rStyle w:val="11"/>
          <w:rFonts w:hint="eastAsia" w:ascii="仿宋" w:hAnsi="仿宋" w:eastAsia="仿宋"/>
          <w:szCs w:val="32"/>
        </w:rPr>
        <w:t>，代签约</w:t>
      </w:r>
      <w:r>
        <w:rPr>
          <w:rStyle w:val="11"/>
          <w:rFonts w:ascii="仿宋" w:hAnsi="仿宋" w:eastAsia="仿宋"/>
          <w:szCs w:val="32"/>
        </w:rPr>
        <w:t>实习基地两家。</w:t>
      </w:r>
    </w:p>
    <w:tbl>
      <w:tblPr>
        <w:tblStyle w:val="8"/>
        <w:tblW w:w="8660"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3714"/>
        <w:gridCol w:w="1560"/>
        <w:gridCol w:w="256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660" w:type="dxa"/>
            <w:gridSpan w:val="4"/>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2022年本学位点汉语国际教育硕士实习实践基地</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2"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714"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实习基地共建单位</w:t>
            </w:r>
          </w:p>
        </w:tc>
        <w:tc>
          <w:tcPr>
            <w:tcW w:w="1560"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单位性质</w:t>
            </w:r>
          </w:p>
        </w:tc>
        <w:tc>
          <w:tcPr>
            <w:tcW w:w="2564"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建立时间</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71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对外经济贸易大学附属小学</w:t>
            </w:r>
          </w:p>
        </w:tc>
        <w:tc>
          <w:tcPr>
            <w:tcW w:w="156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中小学</w:t>
            </w:r>
          </w:p>
        </w:tc>
        <w:tc>
          <w:tcPr>
            <w:tcW w:w="256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2018.6（2021.12续签）</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71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北京宏志中学</w:t>
            </w:r>
          </w:p>
        </w:tc>
        <w:tc>
          <w:tcPr>
            <w:tcW w:w="156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中小学</w:t>
            </w:r>
          </w:p>
        </w:tc>
        <w:tc>
          <w:tcPr>
            <w:tcW w:w="256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2021.12</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71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北京汇文中学</w:t>
            </w:r>
          </w:p>
        </w:tc>
        <w:tc>
          <w:tcPr>
            <w:tcW w:w="156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中小学</w:t>
            </w:r>
          </w:p>
        </w:tc>
        <w:tc>
          <w:tcPr>
            <w:tcW w:w="256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2021.12</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71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北京市朝阳外国语学校</w:t>
            </w:r>
          </w:p>
        </w:tc>
        <w:tc>
          <w:tcPr>
            <w:tcW w:w="156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中小学</w:t>
            </w:r>
          </w:p>
        </w:tc>
        <w:tc>
          <w:tcPr>
            <w:tcW w:w="2564"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2022.1</w:t>
            </w:r>
          </w:p>
        </w:tc>
      </w:tr>
    </w:tbl>
    <w:p>
      <w:pPr>
        <w:ind w:firstLine="420" w:firstLineChars="200"/>
      </w:pPr>
    </w:p>
    <w:p>
      <w:pPr>
        <w:pStyle w:val="2"/>
        <w:spacing w:line="240" w:lineRule="auto"/>
        <w:ind w:firstLine="643"/>
        <w:jc w:val="left"/>
        <w:rPr>
          <w:rFonts w:ascii="仿宋" w:hAnsi="仿宋" w:eastAsia="仿宋"/>
          <w:b/>
          <w:sz w:val="32"/>
        </w:rPr>
      </w:pPr>
      <w:r>
        <w:rPr>
          <w:rFonts w:hint="eastAsia" w:ascii="仿宋" w:hAnsi="仿宋" w:eastAsia="仿宋"/>
          <w:b/>
          <w:sz w:val="32"/>
        </w:rPr>
        <w:t>（8）代表性专业实践活动与成果</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w:t>
      </w:r>
      <w:r>
        <w:rPr>
          <w:rStyle w:val="11"/>
          <w:rFonts w:ascii="仿宋" w:hAnsi="仿宋" w:eastAsia="仿宋"/>
          <w:szCs w:val="32"/>
        </w:rPr>
        <w:t>学位点重视专业实践，学生在读期间能充分利用校内外丰富的实习资源，人均参加专业实践时长为 10 个月，人均参加实践岗位 1.5 个以上。鼓励学生赴海外孔子学院、孔子课堂实习，部分同学在国内大学对外汉语课堂和国际学校、教育培训机构实习。</w:t>
      </w:r>
      <w:r>
        <w:rPr>
          <w:rStyle w:val="11"/>
          <w:rFonts w:hint="eastAsia" w:ascii="仿宋" w:hAnsi="仿宋" w:eastAsia="仿宋"/>
          <w:szCs w:val="32"/>
        </w:rPr>
        <w:t>本学位点</w:t>
      </w:r>
      <w:r>
        <w:rPr>
          <w:rStyle w:val="11"/>
          <w:rFonts w:ascii="仿宋" w:hAnsi="仿宋" w:eastAsia="仿宋"/>
          <w:szCs w:val="32"/>
        </w:rPr>
        <w:t>明确要求实习岗位须专业对口，鼓励学生优先选择赴海外进行汉语教学和文化传播，并在奖助政策上予以体现。实习结束后需提交专业实习报告及课堂教学录像、教学案例等材料，材料经</w:t>
      </w:r>
      <w:r>
        <w:rPr>
          <w:rStyle w:val="11"/>
          <w:rFonts w:hint="eastAsia" w:ascii="仿宋" w:hAnsi="仿宋" w:eastAsia="仿宋"/>
          <w:szCs w:val="32"/>
        </w:rPr>
        <w:t>本学位点</w:t>
      </w:r>
      <w:r>
        <w:rPr>
          <w:rStyle w:val="11"/>
          <w:rFonts w:ascii="仿宋" w:hAnsi="仿宋" w:eastAsia="仿宋"/>
          <w:szCs w:val="32"/>
        </w:rPr>
        <w:t>专家审核后方能取得实习学分。</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2016年以来，多人次获孔子学院“优秀汉语教师志愿者”，2015级吴玉荣获泰国教育部职教委颁发的“优秀教师”称号。先后12人参与杜克大学、普林斯顿大学等暑期在华汉语培训项目，获得学生一致好评。</w:t>
      </w:r>
    </w:p>
    <w:p>
      <w:pPr>
        <w:pStyle w:val="2"/>
        <w:spacing w:line="240" w:lineRule="auto"/>
        <w:ind w:firstLine="643"/>
        <w:jc w:val="left"/>
        <w:rPr>
          <w:rFonts w:ascii="仿宋" w:hAnsi="仿宋" w:eastAsia="仿宋"/>
          <w:b/>
          <w:sz w:val="32"/>
        </w:rPr>
      </w:pPr>
      <w:r>
        <w:rPr>
          <w:rFonts w:hint="eastAsia" w:ascii="仿宋" w:hAnsi="仿宋" w:eastAsia="仿宋"/>
          <w:b/>
          <w:sz w:val="32"/>
        </w:rPr>
        <w:t>（9）案例开发与运用</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案例教学是本专业学位人才培养的主要方法之一。除“汉语教学法”、“跨文化交际”课程外，文学文化类、国别化专题类、汉语基础类课程也经常采用案例教学，占课程总数的 73%；90%的案例教学师生反映效果很好，有助于学生理解和体验相关理论方法，培养反思能力和批判性思维，积累实践经验。目前 3 门课程以案例为基础完成了校级案例库建设和课程建设。</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教学所用案例来源多样，原创案例占比高。本专业学位留学生人数多，师生国际化程度高，为教学提供了丰富的案例素材。其中，仅汉教硕士以国内外实习经历为基础就提供了上百个案例，主要用于案例库建设、分享座谈会、课程专题讨论和学位论文撰写。案例类型多样，教学模式有创新。经典案例研讨仍然是案例教学的主要方式，同时有64%的教师采用实践案例。实践案例由教师提供或指导学生调研真实情境和任务，通过计划-模拟-诊断，师生以多重角色参与案例的呈现和研讨。实践案例在培养学生的实践能力、反思能力、换位思考能力及团队合作能力方面效果显著。</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2022年</w:t>
      </w:r>
      <w:r>
        <w:rPr>
          <w:rStyle w:val="11"/>
          <w:rFonts w:ascii="仿宋" w:hAnsi="仿宋" w:eastAsia="仿宋"/>
          <w:szCs w:val="32"/>
        </w:rPr>
        <w:t>，</w:t>
      </w:r>
      <w:r>
        <w:rPr>
          <w:rStyle w:val="11"/>
          <w:rFonts w:hint="eastAsia" w:ascii="仿宋" w:hAnsi="仿宋" w:eastAsia="仿宋"/>
          <w:szCs w:val="32"/>
        </w:rPr>
        <w:t>校级</w:t>
      </w:r>
      <w:r>
        <w:rPr>
          <w:rStyle w:val="11"/>
          <w:rFonts w:ascii="仿宋" w:hAnsi="仿宋" w:eastAsia="仿宋"/>
          <w:szCs w:val="32"/>
        </w:rPr>
        <w:t>案例库建设项目“国际汉语教学及中华文化传播案例库”</w:t>
      </w:r>
      <w:r>
        <w:rPr>
          <w:rStyle w:val="11"/>
          <w:rFonts w:hint="eastAsia" w:ascii="仿宋" w:hAnsi="仿宋" w:eastAsia="仿宋"/>
          <w:szCs w:val="32"/>
        </w:rPr>
        <w:t>正式</w:t>
      </w:r>
      <w:r>
        <w:rPr>
          <w:rStyle w:val="11"/>
          <w:rFonts w:ascii="仿宋" w:hAnsi="仿宋" w:eastAsia="仿宋"/>
          <w:szCs w:val="32"/>
        </w:rPr>
        <w:t>结项，目前</w:t>
      </w:r>
      <w:r>
        <w:rPr>
          <w:rStyle w:val="11"/>
          <w:rFonts w:hint="eastAsia" w:ascii="仿宋" w:hAnsi="仿宋" w:eastAsia="仿宋"/>
          <w:szCs w:val="32"/>
        </w:rPr>
        <w:t>该</w:t>
      </w:r>
      <w:r>
        <w:rPr>
          <w:rStyle w:val="11"/>
          <w:rFonts w:ascii="仿宋" w:hAnsi="仿宋" w:eastAsia="仿宋"/>
          <w:szCs w:val="32"/>
        </w:rPr>
        <w:t>案例库包括案例</w:t>
      </w:r>
      <w:r>
        <w:rPr>
          <w:rStyle w:val="11"/>
          <w:rFonts w:hint="eastAsia" w:ascii="仿宋" w:hAnsi="仿宋" w:eastAsia="仿宋"/>
          <w:szCs w:val="32"/>
        </w:rPr>
        <w:t>100余</w:t>
      </w:r>
      <w:r>
        <w:rPr>
          <w:rStyle w:val="11"/>
          <w:rFonts w:ascii="仿宋" w:hAnsi="仿宋" w:eastAsia="仿宋"/>
          <w:szCs w:val="32"/>
        </w:rPr>
        <w:t>个</w:t>
      </w:r>
      <w:r>
        <w:rPr>
          <w:rStyle w:val="11"/>
          <w:rFonts w:hint="eastAsia" w:ascii="仿宋" w:hAnsi="仿宋" w:eastAsia="仿宋"/>
          <w:szCs w:val="32"/>
        </w:rPr>
        <w:t>，已</w:t>
      </w:r>
      <w:r>
        <w:rPr>
          <w:rStyle w:val="11"/>
          <w:rFonts w:ascii="仿宋" w:hAnsi="仿宋" w:eastAsia="仿宋"/>
          <w:szCs w:val="32"/>
        </w:rPr>
        <w:t>在多门课程教学中得到了应用。</w:t>
      </w:r>
    </w:p>
    <w:p>
      <w:pPr>
        <w:pStyle w:val="2"/>
        <w:spacing w:line="240" w:lineRule="auto"/>
        <w:ind w:firstLine="643"/>
        <w:jc w:val="left"/>
        <w:rPr>
          <w:rFonts w:ascii="仿宋" w:hAnsi="仿宋" w:eastAsia="仿宋"/>
          <w:b/>
          <w:sz w:val="32"/>
        </w:rPr>
      </w:pPr>
      <w:r>
        <w:rPr>
          <w:rFonts w:hint="eastAsia" w:ascii="仿宋" w:hAnsi="仿宋" w:eastAsia="仿宋"/>
          <w:b/>
          <w:sz w:val="32"/>
        </w:rPr>
        <w:t>（10）国际中文教师证书</w:t>
      </w:r>
      <w:r>
        <w:rPr>
          <w:rFonts w:ascii="仿宋" w:hAnsi="仿宋" w:eastAsia="仿宋"/>
          <w:b/>
          <w:sz w:val="32"/>
        </w:rPr>
        <w:t>等</w:t>
      </w:r>
      <w:r>
        <w:rPr>
          <w:rFonts w:hint="eastAsia" w:ascii="仿宋" w:hAnsi="仿宋" w:eastAsia="仿宋"/>
          <w:b/>
          <w:sz w:val="32"/>
        </w:rPr>
        <w:t>资格证书考取</w:t>
      </w:r>
      <w:r>
        <w:rPr>
          <w:rFonts w:ascii="仿宋" w:hAnsi="仿宋" w:eastAsia="仿宋"/>
          <w:b/>
          <w:sz w:val="32"/>
        </w:rPr>
        <w:t>情况</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截止2022年12月</w:t>
      </w:r>
      <w:r>
        <w:rPr>
          <w:rStyle w:val="11"/>
          <w:rFonts w:ascii="仿宋" w:hAnsi="仿宋" w:eastAsia="仿宋"/>
          <w:szCs w:val="32"/>
        </w:rPr>
        <w:t>，共有</w:t>
      </w:r>
      <w:r>
        <w:rPr>
          <w:rStyle w:val="11"/>
          <w:rFonts w:hint="eastAsia" w:ascii="仿宋" w:hAnsi="仿宋" w:eastAsia="仿宋"/>
          <w:szCs w:val="32"/>
        </w:rPr>
        <w:t>40余人</w:t>
      </w:r>
      <w:r>
        <w:rPr>
          <w:rStyle w:val="11"/>
          <w:rFonts w:ascii="仿宋" w:hAnsi="仿宋" w:eastAsia="仿宋"/>
          <w:szCs w:val="32"/>
        </w:rPr>
        <w:t>考取国际中文教师证书。</w:t>
      </w:r>
      <w:r>
        <w:rPr>
          <w:rStyle w:val="11"/>
          <w:rFonts w:hint="eastAsia" w:ascii="仿宋" w:hAnsi="仿宋" w:eastAsia="仿宋"/>
          <w:szCs w:val="32"/>
        </w:rPr>
        <w:t>2</w:t>
      </w:r>
      <w:r>
        <w:rPr>
          <w:rStyle w:val="11"/>
          <w:rFonts w:ascii="仿宋" w:hAnsi="仿宋" w:eastAsia="仿宋"/>
          <w:szCs w:val="32"/>
        </w:rPr>
        <w:t>02</w:t>
      </w:r>
      <w:r>
        <w:rPr>
          <w:rStyle w:val="11"/>
          <w:rFonts w:hint="eastAsia" w:ascii="仿宋" w:hAnsi="仿宋" w:eastAsia="仿宋"/>
          <w:szCs w:val="32"/>
        </w:rPr>
        <w:t>2届</w:t>
      </w:r>
      <w:r>
        <w:rPr>
          <w:rStyle w:val="11"/>
          <w:rFonts w:ascii="仿宋" w:hAnsi="仿宋" w:eastAsia="仿宋"/>
          <w:szCs w:val="32"/>
        </w:rPr>
        <w:t>毕业生全部取得中小学</w:t>
      </w:r>
      <w:r>
        <w:rPr>
          <w:rStyle w:val="11"/>
          <w:rFonts w:hint="eastAsia" w:ascii="仿宋" w:hAnsi="仿宋" w:eastAsia="仿宋"/>
          <w:szCs w:val="32"/>
        </w:rPr>
        <w:t>教师资格证</w:t>
      </w:r>
      <w:r>
        <w:rPr>
          <w:rStyle w:val="11"/>
          <w:rFonts w:ascii="仿宋" w:hAnsi="仿宋" w:eastAsia="仿宋"/>
          <w:szCs w:val="32"/>
        </w:rPr>
        <w:t>（</w:t>
      </w:r>
      <w:r>
        <w:rPr>
          <w:rStyle w:val="11"/>
          <w:rFonts w:hint="eastAsia" w:ascii="仿宋" w:hAnsi="仿宋" w:eastAsia="仿宋"/>
          <w:szCs w:val="32"/>
        </w:rPr>
        <w:t>语文</w:t>
      </w:r>
      <w:r>
        <w:rPr>
          <w:rStyle w:val="11"/>
          <w:rFonts w:ascii="仿宋" w:hAnsi="仿宋" w:eastAsia="仿宋"/>
          <w:szCs w:val="32"/>
        </w:rPr>
        <w:t>）</w:t>
      </w:r>
      <w:r>
        <w:rPr>
          <w:rStyle w:val="11"/>
          <w:rFonts w:hint="eastAsia" w:ascii="仿宋" w:hAnsi="仿宋" w:eastAsia="仿宋"/>
          <w:szCs w:val="32"/>
        </w:rPr>
        <w:t>。</w:t>
      </w:r>
    </w:p>
    <w:p>
      <w:pPr>
        <w:pStyle w:val="2"/>
        <w:spacing w:line="240" w:lineRule="auto"/>
        <w:ind w:firstLine="643"/>
        <w:jc w:val="left"/>
        <w:rPr>
          <w:rFonts w:ascii="仿宋" w:hAnsi="仿宋" w:eastAsia="仿宋"/>
          <w:b/>
          <w:sz w:val="32"/>
        </w:rPr>
      </w:pPr>
      <w:r>
        <w:rPr>
          <w:rFonts w:hint="eastAsia" w:ascii="仿宋" w:hAnsi="仿宋" w:eastAsia="仿宋"/>
          <w:b/>
          <w:sz w:val="32"/>
        </w:rPr>
        <w:t>（11）专业学位教指委会议/赛事活动参与</w:t>
      </w:r>
      <w:r>
        <w:rPr>
          <w:rFonts w:ascii="仿宋" w:hAnsi="仿宋" w:eastAsia="仿宋"/>
          <w:b/>
          <w:sz w:val="32"/>
        </w:rPr>
        <w:t>情况</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w:t>
      </w:r>
      <w:r>
        <w:rPr>
          <w:rStyle w:val="11"/>
          <w:rFonts w:ascii="仿宋" w:hAnsi="仿宋" w:eastAsia="仿宋"/>
          <w:szCs w:val="32"/>
        </w:rPr>
        <w:t>学位点积极组织师生参与</w:t>
      </w:r>
      <w:r>
        <w:rPr>
          <w:rStyle w:val="11"/>
          <w:rFonts w:hint="eastAsia" w:ascii="仿宋" w:hAnsi="仿宋" w:eastAsia="仿宋"/>
          <w:szCs w:val="32"/>
        </w:rPr>
        <w:t>行业领域</w:t>
      </w:r>
      <w:r>
        <w:rPr>
          <w:rStyle w:val="11"/>
          <w:rFonts w:ascii="仿宋" w:hAnsi="仿宋" w:eastAsia="仿宋"/>
          <w:szCs w:val="32"/>
        </w:rPr>
        <w:t>内的会议与赛事活动。</w:t>
      </w:r>
      <w:r>
        <w:rPr>
          <w:rStyle w:val="11"/>
          <w:rFonts w:hint="eastAsia" w:ascii="仿宋" w:hAnsi="仿宋" w:eastAsia="仿宋"/>
          <w:szCs w:val="32"/>
        </w:rPr>
        <w:t>2016级霍文卉荣获首届“汉教英雄会”全国32强荣誉，</w:t>
      </w:r>
      <w:r>
        <w:rPr>
          <w:rStyle w:val="11"/>
          <w:rFonts w:ascii="仿宋" w:hAnsi="仿宋" w:eastAsia="仿宋"/>
          <w:szCs w:val="32"/>
        </w:rPr>
        <w:t>指导教师唐兴全获得</w:t>
      </w:r>
      <w:r>
        <w:rPr>
          <w:rStyle w:val="11"/>
          <w:rFonts w:hint="eastAsia" w:ascii="仿宋" w:hAnsi="仿宋" w:eastAsia="仿宋"/>
          <w:szCs w:val="32"/>
        </w:rPr>
        <w:t>汉教英雄会</w:t>
      </w:r>
      <w:r>
        <w:rPr>
          <w:rStyle w:val="11"/>
          <w:rFonts w:ascii="仿宋" w:hAnsi="仿宋" w:eastAsia="仿宋"/>
          <w:szCs w:val="32"/>
        </w:rPr>
        <w:t>“</w:t>
      </w:r>
      <w:r>
        <w:rPr>
          <w:rStyle w:val="11"/>
          <w:rFonts w:hint="eastAsia" w:ascii="仿宋" w:hAnsi="仿宋" w:eastAsia="仿宋"/>
          <w:szCs w:val="32"/>
        </w:rPr>
        <w:t>优秀指导教师</w:t>
      </w:r>
      <w:r>
        <w:rPr>
          <w:rStyle w:val="11"/>
          <w:rFonts w:ascii="仿宋" w:hAnsi="仿宋" w:eastAsia="仿宋"/>
          <w:szCs w:val="32"/>
        </w:rPr>
        <w:t>”</w:t>
      </w:r>
      <w:r>
        <w:rPr>
          <w:rStyle w:val="11"/>
          <w:rFonts w:hint="eastAsia" w:ascii="仿宋" w:hAnsi="仿宋" w:eastAsia="仿宋"/>
          <w:szCs w:val="32"/>
        </w:rPr>
        <w:t>称号</w:t>
      </w:r>
      <w:r>
        <w:rPr>
          <w:rStyle w:val="11"/>
          <w:rFonts w:ascii="仿宋" w:hAnsi="仿宋" w:eastAsia="仿宋"/>
          <w:szCs w:val="32"/>
        </w:rPr>
        <w:t>。</w:t>
      </w:r>
      <w:r>
        <w:rPr>
          <w:rStyle w:val="11"/>
          <w:rFonts w:hint="eastAsia" w:ascii="仿宋" w:hAnsi="仿宋" w:eastAsia="仿宋"/>
          <w:szCs w:val="32"/>
        </w:rPr>
        <w:t>2017级石清依获“汉教英雄会”北京赛区优胜奖；另有19人次在其他各类汉语教学技能比赛中获奖。</w:t>
      </w:r>
    </w:p>
    <w:p>
      <w:pPr>
        <w:ind w:firstLine="640" w:firstLineChars="200"/>
        <w:rPr>
          <w:rStyle w:val="11"/>
          <w:rFonts w:ascii="仿宋" w:hAnsi="仿宋" w:eastAsia="仿宋"/>
          <w:szCs w:val="32"/>
        </w:rPr>
      </w:pPr>
      <w:r>
        <w:rPr>
          <w:rFonts w:hint="eastAsia" w:ascii="仿宋" w:hAnsi="仿宋" w:eastAsia="仿宋"/>
          <w:sz w:val="32"/>
          <w:szCs w:val="32"/>
        </w:rPr>
        <w:t>2021年</w:t>
      </w:r>
      <w:r>
        <w:rPr>
          <w:rFonts w:ascii="仿宋" w:hAnsi="仿宋" w:eastAsia="仿宋"/>
          <w:sz w:val="32"/>
          <w:szCs w:val="32"/>
        </w:rPr>
        <w:t>本学位点由</w:t>
      </w:r>
      <w:r>
        <w:rPr>
          <w:rFonts w:hint="eastAsia" w:ascii="仿宋" w:hAnsi="仿宋" w:eastAsia="仿宋"/>
          <w:sz w:val="32"/>
          <w:szCs w:val="32"/>
        </w:rPr>
        <w:t>团队负责人</w:t>
      </w:r>
      <w:r>
        <w:rPr>
          <w:rFonts w:ascii="仿宋" w:hAnsi="仿宋" w:eastAsia="仿宋"/>
          <w:sz w:val="32"/>
          <w:szCs w:val="32"/>
        </w:rPr>
        <w:t>唐兴全、指导教师</w:t>
      </w:r>
      <w:r>
        <w:rPr>
          <w:rFonts w:hint="eastAsia" w:ascii="仿宋" w:hAnsi="仿宋" w:eastAsia="仿宋"/>
          <w:sz w:val="32"/>
          <w:szCs w:val="32"/>
        </w:rPr>
        <w:t>吴晓峰和2020级常玲丽</w:t>
      </w:r>
      <w:r>
        <w:rPr>
          <w:rFonts w:ascii="仿宋" w:hAnsi="仿宋" w:eastAsia="仿宋"/>
          <w:sz w:val="32"/>
          <w:szCs w:val="32"/>
        </w:rPr>
        <w:t>、</w:t>
      </w:r>
      <w:r>
        <w:rPr>
          <w:rFonts w:hint="eastAsia" w:ascii="仿宋" w:hAnsi="仿宋" w:eastAsia="仿宋"/>
          <w:sz w:val="32"/>
          <w:szCs w:val="32"/>
        </w:rPr>
        <w:t>史倩钰</w:t>
      </w:r>
      <w:r>
        <w:rPr>
          <w:rFonts w:ascii="仿宋" w:hAnsi="仿宋" w:eastAsia="仿宋"/>
          <w:sz w:val="32"/>
          <w:szCs w:val="32"/>
        </w:rPr>
        <w:t>、焦新雅、</w:t>
      </w:r>
      <w:r>
        <w:rPr>
          <w:rFonts w:hint="eastAsia" w:ascii="仿宋" w:hAnsi="仿宋" w:eastAsia="仿宋"/>
          <w:sz w:val="32"/>
          <w:szCs w:val="32"/>
        </w:rPr>
        <w:t>2021级</w:t>
      </w:r>
      <w:r>
        <w:rPr>
          <w:rFonts w:ascii="仿宋" w:hAnsi="仿宋" w:eastAsia="仿宋"/>
          <w:sz w:val="32"/>
          <w:szCs w:val="32"/>
        </w:rPr>
        <w:t>杜佳丽四位研究生同学</w:t>
      </w:r>
      <w:r>
        <w:rPr>
          <w:rFonts w:hint="eastAsia" w:ascii="仿宋" w:hAnsi="仿宋" w:eastAsia="仿宋"/>
          <w:sz w:val="32"/>
          <w:szCs w:val="32"/>
        </w:rPr>
        <w:t>共同组成</w:t>
      </w:r>
      <w:r>
        <w:rPr>
          <w:rFonts w:ascii="仿宋" w:hAnsi="仿宋" w:eastAsia="仿宋"/>
          <w:sz w:val="32"/>
          <w:szCs w:val="32"/>
        </w:rPr>
        <w:t>“</w:t>
      </w:r>
      <w:r>
        <w:rPr>
          <w:rFonts w:hint="eastAsia" w:ascii="仿宋" w:hAnsi="仿宋" w:eastAsia="仿宋"/>
          <w:sz w:val="32"/>
          <w:szCs w:val="32"/>
        </w:rPr>
        <w:t>汉教英雄会</w:t>
      </w:r>
      <w:r>
        <w:rPr>
          <w:rFonts w:ascii="仿宋" w:hAnsi="仿宋" w:eastAsia="仿宋"/>
          <w:sz w:val="32"/>
          <w:szCs w:val="32"/>
        </w:rPr>
        <w:t>”</w:t>
      </w:r>
      <w:r>
        <w:rPr>
          <w:rFonts w:hint="eastAsia" w:ascii="仿宋" w:hAnsi="仿宋" w:eastAsia="仿宋"/>
          <w:sz w:val="32"/>
          <w:szCs w:val="32"/>
        </w:rPr>
        <w:t>参赛</w:t>
      </w:r>
      <w:r>
        <w:rPr>
          <w:rFonts w:ascii="仿宋" w:hAnsi="仿宋" w:eastAsia="仿宋"/>
          <w:sz w:val="32"/>
          <w:szCs w:val="32"/>
        </w:rPr>
        <w:t>团队，在</w:t>
      </w:r>
      <w:r>
        <w:rPr>
          <w:rFonts w:hint="eastAsia" w:ascii="仿宋" w:hAnsi="仿宋" w:eastAsia="仿宋"/>
          <w:sz w:val="32"/>
          <w:szCs w:val="32"/>
        </w:rPr>
        <w:t>活动中</w:t>
      </w:r>
      <w:r>
        <w:rPr>
          <w:rFonts w:ascii="仿宋" w:hAnsi="仿宋" w:eastAsia="仿宋"/>
          <w:sz w:val="32"/>
          <w:szCs w:val="32"/>
        </w:rPr>
        <w:t>表现突出，</w:t>
      </w:r>
      <w:r>
        <w:rPr>
          <w:rFonts w:hint="eastAsia" w:ascii="仿宋" w:hAnsi="仿宋" w:eastAsia="仿宋"/>
          <w:sz w:val="32"/>
          <w:szCs w:val="32"/>
        </w:rPr>
        <w:t>在</w:t>
      </w:r>
      <w:r>
        <w:rPr>
          <w:rStyle w:val="11"/>
          <w:rFonts w:hint="eastAsia" w:ascii="仿宋" w:hAnsi="仿宋" w:eastAsia="仿宋"/>
          <w:szCs w:val="32"/>
        </w:rPr>
        <w:t>“汉教英雄会”华北区国际中文教学技能交流活动中被授予“最具活力团队”荣誉称号。</w:t>
      </w:r>
    </w:p>
    <w:p>
      <w:pPr>
        <w:ind w:firstLine="640" w:firstLineChars="200"/>
        <w:rPr>
          <w:rFonts w:ascii="仿宋" w:hAnsi="仿宋" w:eastAsia="仿宋"/>
          <w:sz w:val="32"/>
          <w:szCs w:val="32"/>
        </w:rPr>
      </w:pPr>
      <w:r>
        <w:rPr>
          <w:rFonts w:hint="eastAsia" w:ascii="仿宋" w:hAnsi="仿宋" w:eastAsia="仿宋"/>
          <w:sz w:val="32"/>
          <w:szCs w:val="32"/>
        </w:rPr>
        <w:t>2022年本学位点硕士研究生梁园园、杜佳丽在第四届全国研究生汉语教学微课大赛中取得佳绩，分获中国学生组文化类和语言组第三名。</w:t>
      </w:r>
    </w:p>
    <w:p>
      <w:pPr>
        <w:ind w:firstLine="640" w:firstLineChars="200"/>
        <w:rPr>
          <w:rFonts w:ascii="仿宋" w:hAnsi="仿宋" w:eastAsia="仿宋"/>
          <w:sz w:val="32"/>
          <w:szCs w:val="32"/>
        </w:rPr>
      </w:pPr>
      <w:r>
        <w:rPr>
          <w:rFonts w:hint="eastAsia" w:ascii="仿宋" w:hAnsi="仿宋" w:eastAsia="仿宋"/>
          <w:sz w:val="32"/>
          <w:szCs w:val="32"/>
        </w:rPr>
        <w:t>本学位点</w:t>
      </w:r>
      <w:r>
        <w:rPr>
          <w:rFonts w:ascii="仿宋" w:hAnsi="仿宋" w:eastAsia="仿宋"/>
          <w:sz w:val="32"/>
          <w:szCs w:val="32"/>
        </w:rPr>
        <w:t>积极参加</w:t>
      </w:r>
      <w:r>
        <w:rPr>
          <w:rFonts w:hint="eastAsia" w:ascii="仿宋" w:hAnsi="仿宋" w:eastAsia="仿宋"/>
          <w:sz w:val="32"/>
          <w:szCs w:val="32"/>
        </w:rPr>
        <w:t>由教育部</w:t>
      </w:r>
      <w:r>
        <w:rPr>
          <w:rFonts w:ascii="仿宋" w:hAnsi="仿宋" w:eastAsia="仿宋"/>
          <w:sz w:val="32"/>
          <w:szCs w:val="32"/>
        </w:rPr>
        <w:t>中外</w:t>
      </w:r>
      <w:r>
        <w:rPr>
          <w:rFonts w:hint="eastAsia" w:ascii="仿宋" w:hAnsi="仿宋" w:eastAsia="仿宋"/>
          <w:sz w:val="32"/>
          <w:szCs w:val="32"/>
        </w:rPr>
        <w:t>语言交流</w:t>
      </w:r>
      <w:r>
        <w:rPr>
          <w:rFonts w:ascii="仿宋" w:hAnsi="仿宋" w:eastAsia="仿宋"/>
          <w:sz w:val="32"/>
          <w:szCs w:val="32"/>
        </w:rPr>
        <w:t>合作中心、</w:t>
      </w:r>
      <w:r>
        <w:rPr>
          <w:rFonts w:hint="eastAsia" w:ascii="仿宋" w:hAnsi="仿宋" w:eastAsia="仿宋"/>
          <w:sz w:val="32"/>
          <w:szCs w:val="32"/>
        </w:rPr>
        <w:t>全国汉语国际教育硕士</w:t>
      </w:r>
      <w:r>
        <w:rPr>
          <w:rFonts w:ascii="仿宋" w:hAnsi="仿宋" w:eastAsia="仿宋"/>
          <w:sz w:val="32"/>
          <w:szCs w:val="32"/>
        </w:rPr>
        <w:t>教学指导</w:t>
      </w:r>
      <w:r>
        <w:rPr>
          <w:rFonts w:hint="eastAsia" w:ascii="仿宋" w:hAnsi="仿宋" w:eastAsia="仿宋"/>
          <w:sz w:val="32"/>
          <w:szCs w:val="32"/>
        </w:rPr>
        <w:t>委员会</w:t>
      </w:r>
      <w:r>
        <w:rPr>
          <w:rFonts w:ascii="仿宋" w:hAnsi="仿宋" w:eastAsia="仿宋"/>
          <w:sz w:val="32"/>
          <w:szCs w:val="32"/>
        </w:rPr>
        <w:t>、世界汉语学会</w:t>
      </w:r>
      <w:r>
        <w:rPr>
          <w:rFonts w:hint="eastAsia" w:ascii="仿宋" w:hAnsi="仿宋" w:eastAsia="仿宋"/>
          <w:sz w:val="32"/>
          <w:szCs w:val="32"/>
        </w:rPr>
        <w:t>等</w:t>
      </w:r>
      <w:r>
        <w:rPr>
          <w:rFonts w:ascii="仿宋" w:hAnsi="仿宋" w:eastAsia="仿宋"/>
          <w:sz w:val="32"/>
          <w:szCs w:val="32"/>
        </w:rPr>
        <w:t>主办的各类会议与活动。</w:t>
      </w:r>
      <w:r>
        <w:rPr>
          <w:rFonts w:hint="eastAsia" w:ascii="仿宋" w:hAnsi="仿宋" w:eastAsia="仿宋"/>
          <w:sz w:val="32"/>
          <w:szCs w:val="32"/>
        </w:rPr>
        <w:t>2</w:t>
      </w:r>
      <w:r>
        <w:rPr>
          <w:rFonts w:ascii="仿宋" w:hAnsi="仿宋" w:eastAsia="仿宋"/>
          <w:sz w:val="32"/>
          <w:szCs w:val="32"/>
        </w:rPr>
        <w:t>021</w:t>
      </w:r>
      <w:r>
        <w:rPr>
          <w:rFonts w:hint="eastAsia" w:ascii="仿宋" w:hAnsi="仿宋" w:eastAsia="仿宋"/>
          <w:sz w:val="32"/>
          <w:szCs w:val="32"/>
        </w:rPr>
        <w:t>年12月</w:t>
      </w:r>
      <w:r>
        <w:rPr>
          <w:rFonts w:ascii="仿宋" w:hAnsi="仿宋" w:eastAsia="仿宋"/>
          <w:sz w:val="32"/>
          <w:szCs w:val="32"/>
        </w:rPr>
        <w:t>，作为培养院校代表，</w:t>
      </w:r>
      <w:r>
        <w:rPr>
          <w:rFonts w:hint="eastAsia" w:ascii="仿宋" w:hAnsi="仿宋" w:eastAsia="仿宋"/>
          <w:sz w:val="32"/>
          <w:szCs w:val="32"/>
        </w:rPr>
        <w:t>本学位</w:t>
      </w:r>
      <w:r>
        <w:rPr>
          <w:rFonts w:ascii="仿宋" w:hAnsi="仿宋" w:eastAsia="仿宋"/>
          <w:sz w:val="32"/>
          <w:szCs w:val="32"/>
        </w:rPr>
        <w:t>点负责人在全国汉语国际教育硕士培养院校交流会上</w:t>
      </w:r>
      <w:r>
        <w:rPr>
          <w:rFonts w:hint="eastAsia" w:ascii="仿宋" w:hAnsi="仿宋" w:eastAsia="仿宋"/>
          <w:sz w:val="32"/>
          <w:szCs w:val="32"/>
        </w:rPr>
        <w:t>发言</w:t>
      </w:r>
      <w:r>
        <w:rPr>
          <w:rFonts w:ascii="仿宋" w:hAnsi="仿宋" w:eastAsia="仿宋"/>
          <w:sz w:val="32"/>
          <w:szCs w:val="32"/>
        </w:rPr>
        <w:t>，介绍培养经验。</w:t>
      </w:r>
    </w:p>
    <w:p>
      <w:pPr>
        <w:ind w:firstLine="640" w:firstLineChars="200"/>
        <w:rPr>
          <w:rFonts w:ascii="仿宋" w:hAnsi="仿宋" w:eastAsia="仿宋"/>
          <w:sz w:val="32"/>
          <w:szCs w:val="32"/>
        </w:rPr>
      </w:pPr>
      <w:r>
        <w:rPr>
          <w:rFonts w:ascii="仿宋" w:hAnsi="仿宋" w:eastAsia="仿宋"/>
          <w:sz w:val="32"/>
          <w:szCs w:val="32"/>
        </w:rPr>
        <w:t>本学位</w:t>
      </w:r>
      <w:r>
        <w:rPr>
          <w:rFonts w:hint="eastAsia" w:ascii="仿宋" w:hAnsi="仿宋" w:eastAsia="仿宋"/>
          <w:sz w:val="32"/>
          <w:szCs w:val="32"/>
        </w:rPr>
        <w:t>点</w:t>
      </w:r>
      <w:r>
        <w:rPr>
          <w:rFonts w:ascii="仿宋" w:hAnsi="仿宋" w:eastAsia="仿宋"/>
          <w:sz w:val="32"/>
          <w:szCs w:val="32"/>
        </w:rPr>
        <w:t>参与协办的</w:t>
      </w:r>
      <w:r>
        <w:rPr>
          <w:rFonts w:hint="eastAsia" w:ascii="仿宋" w:hAnsi="仿宋" w:eastAsia="仿宋"/>
          <w:sz w:val="32"/>
          <w:szCs w:val="32"/>
        </w:rPr>
        <w:t>多</w:t>
      </w:r>
      <w:r>
        <w:rPr>
          <w:rFonts w:ascii="仿宋" w:hAnsi="仿宋" w:eastAsia="仿宋"/>
          <w:sz w:val="32"/>
          <w:szCs w:val="32"/>
        </w:rPr>
        <w:t>次海外孔子学院学员夏令营、冬令营等文化体验活动取得重大成功，大大促进了中外人文交流，加深了海外学生对中国的了解。2016年以来团组体验营共计46场，其中45场线下体验营，1场线上体验营。接待线下学员数量累计 978人，线上学员人数 292人，共计1270人。30余位汉硕同学参加了历次活动。积极邀请来自美国、俄罗斯、匈牙利、保加利亚、西班牙、日本、韩国等国家的孔子学院院长来校开展学术交流。</w:t>
      </w:r>
    </w:p>
    <w:p>
      <w:pPr>
        <w:pStyle w:val="2"/>
        <w:spacing w:line="240" w:lineRule="auto"/>
        <w:ind w:firstLine="643"/>
        <w:jc w:val="left"/>
        <w:rPr>
          <w:rFonts w:ascii="仿宋" w:hAnsi="仿宋" w:eastAsia="仿宋"/>
          <w:b/>
          <w:sz w:val="32"/>
        </w:rPr>
      </w:pPr>
      <w:r>
        <w:rPr>
          <w:rFonts w:hint="eastAsia" w:ascii="仿宋" w:hAnsi="仿宋" w:eastAsia="仿宋"/>
          <w:b/>
          <w:sz w:val="32"/>
        </w:rPr>
        <w:t>（12）</w:t>
      </w:r>
      <w:r>
        <w:rPr>
          <w:rFonts w:ascii="仿宋" w:hAnsi="仿宋" w:eastAsia="仿宋"/>
          <w:b/>
          <w:sz w:val="32"/>
        </w:rPr>
        <w:t>师资队伍建设</w:t>
      </w:r>
    </w:p>
    <w:p>
      <w:pPr>
        <w:ind w:firstLine="640" w:firstLineChars="200"/>
        <w:rPr>
          <w:rFonts w:ascii="仿宋" w:hAnsi="仿宋" w:eastAsia="仿宋"/>
          <w:sz w:val="32"/>
          <w:szCs w:val="32"/>
        </w:rPr>
      </w:pPr>
      <w:r>
        <w:rPr>
          <w:rFonts w:hint="eastAsia" w:ascii="仿宋" w:hAnsi="仿宋" w:eastAsia="仿宋"/>
          <w:sz w:val="32"/>
          <w:szCs w:val="32"/>
        </w:rPr>
        <w:t>在</w:t>
      </w:r>
      <w:r>
        <w:rPr>
          <w:rFonts w:ascii="仿宋" w:hAnsi="仿宋" w:eastAsia="仿宋"/>
          <w:sz w:val="32"/>
          <w:szCs w:val="32"/>
        </w:rPr>
        <w:t>师德师风建设情况</w:t>
      </w:r>
      <w:r>
        <w:rPr>
          <w:rFonts w:hint="eastAsia" w:ascii="仿宋" w:hAnsi="仿宋" w:eastAsia="仿宋"/>
          <w:sz w:val="32"/>
          <w:szCs w:val="32"/>
        </w:rPr>
        <w:t>方面</w:t>
      </w:r>
      <w:r>
        <w:rPr>
          <w:rFonts w:ascii="仿宋" w:hAnsi="仿宋" w:eastAsia="仿宋"/>
          <w:sz w:val="32"/>
          <w:szCs w:val="32"/>
        </w:rPr>
        <w:t>，</w:t>
      </w:r>
      <w:r>
        <w:rPr>
          <w:rFonts w:hint="eastAsia" w:ascii="仿宋" w:hAnsi="仿宋" w:eastAsia="仿宋"/>
          <w:sz w:val="32"/>
          <w:szCs w:val="32"/>
        </w:rPr>
        <w:t>本学位点</w:t>
      </w:r>
      <w:r>
        <w:rPr>
          <w:rFonts w:ascii="仿宋" w:hAnsi="仿宋" w:eastAsia="仿宋"/>
          <w:sz w:val="32"/>
          <w:szCs w:val="32"/>
        </w:rPr>
        <w:t>重视师德师风建设，</w:t>
      </w:r>
      <w:r>
        <w:rPr>
          <w:rFonts w:hint="eastAsia" w:ascii="仿宋" w:hAnsi="仿宋" w:eastAsia="仿宋"/>
          <w:sz w:val="32"/>
          <w:szCs w:val="32"/>
        </w:rPr>
        <w:t>将师德师风教育摆在培养首位，修订完善师德规范，明确教师的职业道德规范和师德建设的途径、方法。开展师说·师德沙龙和师德文化月活动，多次</w:t>
      </w:r>
      <w:r>
        <w:rPr>
          <w:rFonts w:ascii="仿宋" w:hAnsi="仿宋" w:eastAsia="仿宋"/>
          <w:sz w:val="32"/>
          <w:szCs w:val="32"/>
        </w:rPr>
        <w:t>开展师德专题教育，</w:t>
      </w:r>
      <w:r>
        <w:rPr>
          <w:rFonts w:hint="eastAsia" w:ascii="仿宋" w:hAnsi="仿宋" w:eastAsia="仿宋"/>
          <w:sz w:val="32"/>
          <w:szCs w:val="32"/>
        </w:rPr>
        <w:t>集中学习教师课堂教学纪律、师德建设系列文件， 学习全国优秀教师于瑾、</w:t>
      </w:r>
      <w:r>
        <w:rPr>
          <w:rFonts w:ascii="仿宋" w:hAnsi="仿宋" w:eastAsia="仿宋"/>
          <w:sz w:val="32"/>
          <w:szCs w:val="32"/>
        </w:rPr>
        <w:t>张桂梅</w:t>
      </w:r>
      <w:r>
        <w:rPr>
          <w:rFonts w:hint="eastAsia" w:ascii="仿宋" w:hAnsi="仿宋" w:eastAsia="仿宋"/>
          <w:sz w:val="32"/>
          <w:szCs w:val="32"/>
        </w:rPr>
        <w:t>先进事迹等；开展“桃李惠园”专项计划，采用主题讲座、新老教师“结对子”、汉语教学专题研究等形式，建设一支道德高尚、业务精良的教师队伍。2022年</w:t>
      </w:r>
      <w:r>
        <w:rPr>
          <w:rFonts w:ascii="仿宋" w:hAnsi="仿宋" w:eastAsia="仿宋"/>
          <w:sz w:val="32"/>
          <w:szCs w:val="32"/>
        </w:rPr>
        <w:t>，</w:t>
      </w:r>
      <w:r>
        <w:rPr>
          <w:rFonts w:hint="eastAsia" w:ascii="仿宋" w:hAnsi="仿宋" w:eastAsia="仿宋"/>
          <w:sz w:val="32"/>
          <w:szCs w:val="32"/>
        </w:rPr>
        <w:t>本学位点</w:t>
      </w:r>
      <w:r>
        <w:rPr>
          <w:rFonts w:ascii="仿宋" w:hAnsi="仿宋" w:eastAsia="仿宋"/>
          <w:sz w:val="32"/>
          <w:szCs w:val="32"/>
        </w:rPr>
        <w:t>先后开展了</w:t>
      </w:r>
      <w:r>
        <w:rPr>
          <w:rFonts w:hint="eastAsia" w:ascii="仿宋" w:hAnsi="仿宋" w:eastAsia="仿宋"/>
          <w:sz w:val="32"/>
          <w:szCs w:val="32"/>
        </w:rPr>
        <w:t>5次</w:t>
      </w:r>
      <w:r>
        <w:rPr>
          <w:rFonts w:ascii="仿宋" w:hAnsi="仿宋" w:eastAsia="仿宋"/>
          <w:sz w:val="32"/>
          <w:szCs w:val="32"/>
        </w:rPr>
        <w:t>师德专题教育，</w:t>
      </w:r>
      <w:r>
        <w:rPr>
          <w:rFonts w:hint="eastAsia" w:ascii="仿宋" w:hAnsi="仿宋" w:eastAsia="仿宋"/>
          <w:sz w:val="32"/>
          <w:szCs w:val="32"/>
        </w:rPr>
        <w:t>学习</w:t>
      </w:r>
      <w:r>
        <w:rPr>
          <w:rFonts w:ascii="仿宋" w:hAnsi="仿宋" w:eastAsia="仿宋"/>
          <w:sz w:val="32"/>
          <w:szCs w:val="32"/>
        </w:rPr>
        <w:t>先进</w:t>
      </w:r>
      <w:r>
        <w:rPr>
          <w:rFonts w:hint="eastAsia" w:ascii="仿宋" w:hAnsi="仿宋" w:eastAsia="仿宋"/>
          <w:sz w:val="32"/>
          <w:szCs w:val="32"/>
        </w:rPr>
        <w:t>人物事迹</w:t>
      </w:r>
      <w:r>
        <w:rPr>
          <w:rFonts w:ascii="仿宋" w:hAnsi="仿宋" w:eastAsia="仿宋"/>
          <w:sz w:val="32"/>
          <w:szCs w:val="32"/>
        </w:rPr>
        <w:t>，</w:t>
      </w:r>
      <w:r>
        <w:rPr>
          <w:rFonts w:hint="eastAsia" w:ascii="仿宋" w:hAnsi="仿宋" w:eastAsia="仿宋"/>
          <w:sz w:val="32"/>
          <w:szCs w:val="32"/>
        </w:rPr>
        <w:t>通过</w:t>
      </w:r>
      <w:r>
        <w:rPr>
          <w:rFonts w:ascii="仿宋" w:hAnsi="仿宋" w:eastAsia="仿宋"/>
          <w:sz w:val="32"/>
          <w:szCs w:val="32"/>
        </w:rPr>
        <w:t>反面人物典型</w:t>
      </w:r>
      <w:r>
        <w:rPr>
          <w:rFonts w:hint="eastAsia" w:ascii="仿宋" w:hAnsi="仿宋" w:eastAsia="仿宋"/>
          <w:sz w:val="32"/>
          <w:szCs w:val="32"/>
        </w:rPr>
        <w:t>开展</w:t>
      </w:r>
      <w:r>
        <w:rPr>
          <w:rFonts w:ascii="仿宋" w:hAnsi="仿宋" w:eastAsia="仿宋"/>
          <w:sz w:val="32"/>
          <w:szCs w:val="32"/>
        </w:rPr>
        <w:t>警示教育。</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通过</w:t>
      </w:r>
      <w:r>
        <w:rPr>
          <w:rStyle w:val="11"/>
          <w:rFonts w:ascii="仿宋" w:hAnsi="仿宋" w:eastAsia="仿宋"/>
          <w:szCs w:val="32"/>
        </w:rPr>
        <w:t>不断建设，目前本学位点</w:t>
      </w:r>
      <w:r>
        <w:rPr>
          <w:rStyle w:val="11"/>
          <w:rFonts w:hint="eastAsia" w:ascii="仿宋" w:hAnsi="仿宋" w:eastAsia="仿宋"/>
          <w:szCs w:val="32"/>
        </w:rPr>
        <w:t>目前</w:t>
      </w:r>
      <w:r>
        <w:rPr>
          <w:rStyle w:val="11"/>
          <w:rFonts w:ascii="仿宋" w:hAnsi="仿宋" w:eastAsia="仿宋"/>
          <w:szCs w:val="32"/>
        </w:rPr>
        <w:t>已经建成</w:t>
      </w:r>
      <w:r>
        <w:rPr>
          <w:rStyle w:val="11"/>
          <w:rFonts w:hint="eastAsia" w:ascii="仿宋" w:hAnsi="仿宋" w:eastAsia="仿宋"/>
          <w:szCs w:val="32"/>
        </w:rPr>
        <w:t>一支师资结构合理、学缘结构完善的师资队伍。本学位点</w:t>
      </w:r>
      <w:r>
        <w:rPr>
          <w:rStyle w:val="11"/>
          <w:rFonts w:ascii="仿宋" w:hAnsi="仿宋" w:eastAsia="仿宋"/>
          <w:szCs w:val="32"/>
        </w:rPr>
        <w:t>鼓励教师走出去，服务汉语教学与文化传播，加深国际合作与交流。邓如冰、孙勇进、吴晓峰、蒋春红、韩沛玲、杨宏、杨立群、陈伟蓉等多位教师赴比利时、韩国、日本、希腊、俄罗斯、美国、巴西等国作为专职教师进行汉语教学，唐兴全、周琳等作为访问学者赴爱尔兰、丹麦等国进行学术交流。</w:t>
      </w:r>
      <w:r>
        <w:rPr>
          <w:rStyle w:val="11"/>
          <w:rFonts w:hint="eastAsia" w:ascii="仿宋" w:hAnsi="仿宋" w:eastAsia="仿宋"/>
          <w:szCs w:val="32"/>
        </w:rPr>
        <w:t>校内</w:t>
      </w:r>
      <w:r>
        <w:rPr>
          <w:rStyle w:val="11"/>
          <w:rFonts w:ascii="仿宋" w:hAnsi="仿宋" w:eastAsia="仿宋"/>
          <w:szCs w:val="32"/>
        </w:rPr>
        <w:t>导师队伍中有国际化经历的教师达90%以上，</w:t>
      </w:r>
      <w:r>
        <w:rPr>
          <w:rStyle w:val="11"/>
          <w:rFonts w:hint="eastAsia" w:ascii="仿宋" w:hAnsi="仿宋" w:eastAsia="仿宋"/>
          <w:szCs w:val="32"/>
        </w:rPr>
        <w:t>拥有博士学位的教师在90%以上</w:t>
      </w:r>
      <w:r>
        <w:rPr>
          <w:rStyle w:val="11"/>
          <w:rFonts w:ascii="仿宋" w:hAnsi="仿宋" w:eastAsia="仿宋"/>
          <w:szCs w:val="32"/>
        </w:rPr>
        <w:t>。</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在</w:t>
      </w:r>
      <w:r>
        <w:rPr>
          <w:rStyle w:val="11"/>
          <w:rFonts w:ascii="仿宋" w:hAnsi="仿宋" w:eastAsia="仿宋"/>
          <w:szCs w:val="32"/>
        </w:rPr>
        <w:t>导师选拔培训</w:t>
      </w:r>
      <w:r>
        <w:rPr>
          <w:rStyle w:val="11"/>
          <w:rFonts w:hint="eastAsia" w:ascii="仿宋" w:hAnsi="仿宋" w:eastAsia="仿宋"/>
          <w:szCs w:val="32"/>
        </w:rPr>
        <w:t>方面</w:t>
      </w:r>
      <w:r>
        <w:rPr>
          <w:rStyle w:val="11"/>
          <w:rFonts w:ascii="仿宋" w:hAnsi="仿宋" w:eastAsia="仿宋"/>
          <w:szCs w:val="32"/>
        </w:rPr>
        <w:t>，</w:t>
      </w:r>
      <w:r>
        <w:rPr>
          <w:rStyle w:val="11"/>
          <w:rFonts w:hint="eastAsia" w:ascii="仿宋" w:hAnsi="仿宋" w:eastAsia="仿宋"/>
          <w:szCs w:val="32"/>
        </w:rPr>
        <w:t>2022年</w:t>
      </w:r>
      <w:r>
        <w:rPr>
          <w:rStyle w:val="11"/>
          <w:rFonts w:ascii="仿宋" w:hAnsi="仿宋" w:eastAsia="仿宋"/>
          <w:szCs w:val="32"/>
        </w:rPr>
        <w:t>，本学位点</w:t>
      </w:r>
      <w:r>
        <w:rPr>
          <w:rStyle w:val="11"/>
          <w:rFonts w:hint="eastAsia" w:ascii="仿宋" w:hAnsi="仿宋" w:eastAsia="仿宋"/>
          <w:szCs w:val="32"/>
        </w:rPr>
        <w:t>依据</w:t>
      </w:r>
      <w:r>
        <w:rPr>
          <w:rStyle w:val="11"/>
          <w:rFonts w:ascii="仿宋" w:hAnsi="仿宋" w:eastAsia="仿宋"/>
          <w:szCs w:val="32"/>
        </w:rPr>
        <w:t>学校相关规定，</w:t>
      </w:r>
      <w:r>
        <w:rPr>
          <w:rStyle w:val="11"/>
          <w:rFonts w:hint="eastAsia" w:ascii="仿宋" w:hAnsi="仿宋" w:eastAsia="仿宋"/>
          <w:szCs w:val="32"/>
        </w:rPr>
        <w:t>通过遴选机制</w:t>
      </w:r>
      <w:r>
        <w:rPr>
          <w:rStyle w:val="11"/>
          <w:rFonts w:ascii="仿宋" w:hAnsi="仿宋" w:eastAsia="仿宋"/>
          <w:szCs w:val="32"/>
        </w:rPr>
        <w:t>，</w:t>
      </w:r>
      <w:r>
        <w:rPr>
          <w:rStyle w:val="11"/>
          <w:rFonts w:hint="eastAsia" w:ascii="仿宋" w:hAnsi="仿宋" w:eastAsia="仿宋"/>
          <w:szCs w:val="32"/>
        </w:rPr>
        <w:t>选拔四位青年学者</w:t>
      </w:r>
      <w:r>
        <w:rPr>
          <w:rStyle w:val="11"/>
          <w:rFonts w:ascii="仿宋" w:hAnsi="仿宋" w:eastAsia="仿宋"/>
          <w:szCs w:val="32"/>
        </w:rPr>
        <w:t>进入导师队伍</w:t>
      </w:r>
      <w:r>
        <w:rPr>
          <w:rStyle w:val="11"/>
          <w:rFonts w:hint="eastAsia" w:ascii="仿宋" w:hAnsi="仿宋" w:eastAsia="仿宋"/>
          <w:szCs w:val="32"/>
        </w:rPr>
        <w:t>，</w:t>
      </w:r>
      <w:r>
        <w:rPr>
          <w:rStyle w:val="11"/>
          <w:rFonts w:ascii="仿宋" w:hAnsi="仿宋" w:eastAsia="仿宋"/>
          <w:szCs w:val="32"/>
        </w:rPr>
        <w:t>进一步充实了学位</w:t>
      </w:r>
      <w:r>
        <w:rPr>
          <w:rStyle w:val="11"/>
          <w:rFonts w:hint="eastAsia" w:ascii="仿宋" w:hAnsi="仿宋" w:eastAsia="仿宋"/>
          <w:szCs w:val="32"/>
        </w:rPr>
        <w:t>点</w:t>
      </w:r>
      <w:r>
        <w:rPr>
          <w:rStyle w:val="11"/>
          <w:rFonts w:ascii="仿宋" w:hAnsi="仿宋" w:eastAsia="仿宋"/>
          <w:szCs w:val="32"/>
        </w:rPr>
        <w:t>师资团队。</w:t>
      </w:r>
      <w:r>
        <w:rPr>
          <w:rStyle w:val="11"/>
          <w:rFonts w:hint="eastAsia" w:ascii="仿宋" w:hAnsi="仿宋" w:eastAsia="仿宋"/>
          <w:szCs w:val="32"/>
        </w:rPr>
        <w:t>2022年</w:t>
      </w:r>
      <w:r>
        <w:rPr>
          <w:rStyle w:val="11"/>
          <w:rFonts w:ascii="仿宋" w:hAnsi="仿宋" w:eastAsia="仿宋"/>
          <w:szCs w:val="32"/>
        </w:rPr>
        <w:t>，学位点先后多次组织导师参加</w:t>
      </w:r>
      <w:r>
        <w:rPr>
          <w:rStyle w:val="11"/>
          <w:rFonts w:hint="eastAsia" w:ascii="仿宋" w:hAnsi="仿宋" w:eastAsia="仿宋"/>
          <w:szCs w:val="32"/>
        </w:rPr>
        <w:t>学界</w:t>
      </w:r>
      <w:r>
        <w:rPr>
          <w:rStyle w:val="11"/>
          <w:rFonts w:ascii="仿宋" w:hAnsi="仿宋" w:eastAsia="仿宋"/>
          <w:szCs w:val="32"/>
        </w:rPr>
        <w:t>、学校、学院</w:t>
      </w:r>
      <w:r>
        <w:rPr>
          <w:rStyle w:val="11"/>
          <w:rFonts w:hint="eastAsia" w:ascii="仿宋" w:hAnsi="仿宋" w:eastAsia="仿宋"/>
          <w:szCs w:val="32"/>
        </w:rPr>
        <w:t>等</w:t>
      </w:r>
      <w:r>
        <w:rPr>
          <w:rStyle w:val="11"/>
          <w:rFonts w:ascii="仿宋" w:hAnsi="仿宋" w:eastAsia="仿宋"/>
          <w:szCs w:val="32"/>
        </w:rPr>
        <w:t>不同</w:t>
      </w:r>
      <w:r>
        <w:rPr>
          <w:rStyle w:val="11"/>
          <w:rFonts w:hint="eastAsia" w:ascii="仿宋" w:hAnsi="仿宋" w:eastAsia="仿宋"/>
          <w:szCs w:val="32"/>
        </w:rPr>
        <w:t>主题</w:t>
      </w:r>
      <w:r>
        <w:rPr>
          <w:rStyle w:val="11"/>
          <w:rFonts w:ascii="仿宋" w:hAnsi="仿宋" w:eastAsia="仿宋"/>
          <w:szCs w:val="32"/>
        </w:rPr>
        <w:t>、不同层次的导师培训</w:t>
      </w:r>
      <w:r>
        <w:rPr>
          <w:rStyle w:val="11"/>
          <w:rFonts w:hint="eastAsia" w:ascii="仿宋" w:hAnsi="仿宋" w:eastAsia="仿宋"/>
          <w:szCs w:val="32"/>
        </w:rPr>
        <w:t>，尤其</w:t>
      </w:r>
      <w:r>
        <w:rPr>
          <w:rStyle w:val="11"/>
          <w:rFonts w:ascii="仿宋" w:hAnsi="仿宋" w:eastAsia="仿宋"/>
          <w:szCs w:val="32"/>
        </w:rPr>
        <w:t>关注</w:t>
      </w:r>
      <w:r>
        <w:rPr>
          <w:rStyle w:val="11"/>
          <w:rFonts w:hint="eastAsia" w:ascii="仿宋" w:hAnsi="仿宋" w:eastAsia="仿宋"/>
          <w:szCs w:val="32"/>
        </w:rPr>
        <w:t>近</w:t>
      </w:r>
      <w:r>
        <w:rPr>
          <w:rStyle w:val="11"/>
          <w:rFonts w:ascii="仿宋" w:hAnsi="仿宋" w:eastAsia="仿宋"/>
          <w:szCs w:val="32"/>
        </w:rPr>
        <w:t>三年来新进</w:t>
      </w:r>
      <w:r>
        <w:rPr>
          <w:rStyle w:val="11"/>
          <w:rFonts w:hint="eastAsia" w:ascii="仿宋" w:hAnsi="仿宋" w:eastAsia="仿宋"/>
          <w:szCs w:val="32"/>
        </w:rPr>
        <w:t>研究生导师</w:t>
      </w:r>
      <w:r>
        <w:rPr>
          <w:rStyle w:val="11"/>
          <w:rFonts w:ascii="仿宋" w:hAnsi="仿宋" w:eastAsia="仿宋"/>
          <w:szCs w:val="32"/>
        </w:rPr>
        <w:t>的</w:t>
      </w:r>
      <w:r>
        <w:rPr>
          <w:rStyle w:val="11"/>
          <w:rFonts w:hint="eastAsia" w:ascii="仿宋" w:hAnsi="仿宋" w:eastAsia="仿宋"/>
          <w:szCs w:val="32"/>
        </w:rPr>
        <w:t>能力提升</w:t>
      </w:r>
      <w:r>
        <w:rPr>
          <w:rStyle w:val="11"/>
          <w:rFonts w:ascii="仿宋" w:hAnsi="仿宋" w:eastAsia="仿宋"/>
          <w:szCs w:val="32"/>
        </w:rPr>
        <w:t>。</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在</w:t>
      </w:r>
      <w:r>
        <w:rPr>
          <w:rStyle w:val="11"/>
          <w:rFonts w:ascii="仿宋" w:hAnsi="仿宋" w:eastAsia="仿宋"/>
          <w:szCs w:val="32"/>
        </w:rPr>
        <w:t>导师责任落实</w:t>
      </w:r>
      <w:r>
        <w:rPr>
          <w:rStyle w:val="11"/>
          <w:rFonts w:hint="eastAsia" w:ascii="仿宋" w:hAnsi="仿宋" w:eastAsia="仿宋"/>
          <w:szCs w:val="32"/>
        </w:rPr>
        <w:t>方面</w:t>
      </w:r>
      <w:r>
        <w:rPr>
          <w:rStyle w:val="11"/>
          <w:rFonts w:ascii="仿宋" w:hAnsi="仿宋" w:eastAsia="仿宋"/>
          <w:szCs w:val="32"/>
        </w:rPr>
        <w:t>，</w:t>
      </w:r>
      <w:r>
        <w:rPr>
          <w:rStyle w:val="11"/>
          <w:rFonts w:hint="eastAsia" w:ascii="仿宋" w:hAnsi="仿宋" w:eastAsia="仿宋"/>
          <w:szCs w:val="32"/>
        </w:rPr>
        <w:t>导师</w:t>
      </w:r>
      <w:r>
        <w:rPr>
          <w:rStyle w:val="11"/>
          <w:rFonts w:ascii="仿宋" w:hAnsi="仿宋" w:eastAsia="仿宋"/>
          <w:szCs w:val="32"/>
        </w:rPr>
        <w:t>作为研究生</w:t>
      </w:r>
      <w:r>
        <w:rPr>
          <w:rStyle w:val="11"/>
          <w:rFonts w:hint="eastAsia" w:ascii="仿宋" w:hAnsi="仿宋" w:eastAsia="仿宋"/>
          <w:szCs w:val="32"/>
        </w:rPr>
        <w:t>培养</w:t>
      </w:r>
      <w:r>
        <w:rPr>
          <w:rStyle w:val="11"/>
          <w:rFonts w:ascii="仿宋" w:hAnsi="仿宋" w:eastAsia="仿宋"/>
          <w:szCs w:val="32"/>
        </w:rPr>
        <w:t>的第一责任人</w:t>
      </w:r>
      <w:r>
        <w:rPr>
          <w:rStyle w:val="11"/>
          <w:rFonts w:hint="eastAsia" w:ascii="仿宋" w:hAnsi="仿宋" w:eastAsia="仿宋"/>
          <w:szCs w:val="32"/>
        </w:rPr>
        <w:t>，</w:t>
      </w:r>
      <w:r>
        <w:rPr>
          <w:rStyle w:val="11"/>
          <w:rFonts w:ascii="仿宋" w:hAnsi="仿宋" w:eastAsia="仿宋"/>
          <w:szCs w:val="32"/>
        </w:rPr>
        <w:t>在</w:t>
      </w:r>
      <w:r>
        <w:rPr>
          <w:rStyle w:val="11"/>
          <w:rFonts w:hint="eastAsia" w:ascii="仿宋" w:hAnsi="仿宋" w:eastAsia="仿宋"/>
          <w:szCs w:val="32"/>
        </w:rPr>
        <w:t>学生课程</w:t>
      </w:r>
      <w:r>
        <w:rPr>
          <w:rStyle w:val="11"/>
          <w:rFonts w:ascii="仿宋" w:hAnsi="仿宋" w:eastAsia="仿宋"/>
          <w:szCs w:val="32"/>
        </w:rPr>
        <w:t>学习任务完成、学位论文</w:t>
      </w:r>
      <w:r>
        <w:rPr>
          <w:rStyle w:val="11"/>
          <w:rFonts w:hint="eastAsia" w:ascii="仿宋" w:hAnsi="仿宋" w:eastAsia="仿宋"/>
          <w:szCs w:val="32"/>
        </w:rPr>
        <w:t>质量</w:t>
      </w:r>
      <w:r>
        <w:rPr>
          <w:rStyle w:val="11"/>
          <w:rFonts w:ascii="仿宋" w:hAnsi="仿宋" w:eastAsia="仿宋"/>
          <w:szCs w:val="32"/>
        </w:rPr>
        <w:t>保障、</w:t>
      </w:r>
      <w:r>
        <w:rPr>
          <w:rStyle w:val="11"/>
          <w:rFonts w:hint="eastAsia" w:ascii="仿宋" w:hAnsi="仿宋" w:eastAsia="仿宋"/>
          <w:szCs w:val="32"/>
        </w:rPr>
        <w:t>专业实习实践开展</w:t>
      </w:r>
      <w:r>
        <w:rPr>
          <w:rStyle w:val="11"/>
          <w:rFonts w:ascii="仿宋" w:hAnsi="仿宋" w:eastAsia="仿宋"/>
          <w:szCs w:val="32"/>
        </w:rPr>
        <w:t>、学生能力提升</w:t>
      </w:r>
      <w:r>
        <w:rPr>
          <w:rStyle w:val="11"/>
          <w:rFonts w:hint="eastAsia" w:ascii="仿宋" w:hAnsi="仿宋" w:eastAsia="仿宋"/>
          <w:szCs w:val="32"/>
        </w:rPr>
        <w:t>以及</w:t>
      </w:r>
      <w:r>
        <w:rPr>
          <w:rStyle w:val="11"/>
          <w:rFonts w:ascii="仿宋" w:hAnsi="仿宋" w:eastAsia="仿宋"/>
          <w:szCs w:val="32"/>
        </w:rPr>
        <w:t>就业</w:t>
      </w:r>
      <w:r>
        <w:rPr>
          <w:rStyle w:val="11"/>
          <w:rFonts w:hint="eastAsia" w:ascii="仿宋" w:hAnsi="仿宋" w:eastAsia="仿宋"/>
          <w:szCs w:val="32"/>
        </w:rPr>
        <w:t>、</w:t>
      </w:r>
      <w:r>
        <w:rPr>
          <w:rStyle w:val="11"/>
          <w:rFonts w:ascii="仿宋" w:hAnsi="仿宋" w:eastAsia="仿宋"/>
          <w:szCs w:val="32"/>
        </w:rPr>
        <w:t>个人成长等方面，继续发挥着无可替代的作用。</w:t>
      </w:r>
    </w:p>
    <w:p>
      <w:pPr>
        <w:ind w:firstLine="640" w:firstLineChars="200"/>
        <w:rPr>
          <w:rFonts w:ascii="仿宋" w:hAnsi="仿宋" w:eastAsia="仿宋"/>
          <w:sz w:val="32"/>
          <w:szCs w:val="32"/>
        </w:rPr>
      </w:pPr>
      <w:r>
        <w:rPr>
          <w:rFonts w:hint="eastAsia" w:ascii="仿宋" w:hAnsi="仿宋" w:eastAsia="仿宋"/>
          <w:sz w:val="32"/>
          <w:szCs w:val="32"/>
        </w:rPr>
        <w:t>在行业</w:t>
      </w:r>
      <w:r>
        <w:rPr>
          <w:rStyle w:val="11"/>
          <w:rFonts w:hint="eastAsia" w:ascii="仿宋" w:hAnsi="仿宋" w:eastAsia="仿宋"/>
          <w:szCs w:val="32"/>
        </w:rPr>
        <w:t>导师</w:t>
      </w:r>
      <w:r>
        <w:rPr>
          <w:rFonts w:hint="eastAsia" w:ascii="仿宋" w:hAnsi="仿宋" w:eastAsia="仿宋"/>
          <w:sz w:val="32"/>
          <w:szCs w:val="32"/>
        </w:rPr>
        <w:t>队伍方面</w:t>
      </w:r>
      <w:r>
        <w:rPr>
          <w:rFonts w:ascii="仿宋" w:hAnsi="仿宋" w:eastAsia="仿宋"/>
          <w:sz w:val="32"/>
          <w:szCs w:val="32"/>
        </w:rPr>
        <w:t>，</w:t>
      </w:r>
      <w:r>
        <w:rPr>
          <w:rFonts w:hint="eastAsia" w:ascii="仿宋" w:hAnsi="仿宋" w:eastAsia="仿宋"/>
          <w:sz w:val="32"/>
          <w:szCs w:val="32"/>
        </w:rPr>
        <w:t>本学位点</w:t>
      </w:r>
      <w:r>
        <w:rPr>
          <w:rFonts w:ascii="仿宋" w:hAnsi="仿宋" w:eastAsia="仿宋"/>
          <w:sz w:val="32"/>
          <w:szCs w:val="32"/>
        </w:rPr>
        <w:t>继续推进与</w:t>
      </w:r>
      <w:r>
        <w:rPr>
          <w:rFonts w:hint="eastAsia" w:ascii="仿宋" w:hAnsi="仿宋" w:eastAsia="仿宋"/>
          <w:sz w:val="32"/>
          <w:szCs w:val="32"/>
        </w:rPr>
        <w:t>业界</w:t>
      </w:r>
      <w:r>
        <w:rPr>
          <w:rFonts w:ascii="仿宋" w:hAnsi="仿宋" w:eastAsia="仿宋"/>
          <w:sz w:val="32"/>
          <w:szCs w:val="32"/>
        </w:rPr>
        <w:t>学界的交流与合作</w:t>
      </w:r>
      <w:r>
        <w:rPr>
          <w:rFonts w:hint="eastAsia" w:ascii="仿宋" w:hAnsi="仿宋" w:eastAsia="仿宋"/>
          <w:sz w:val="32"/>
          <w:szCs w:val="32"/>
        </w:rPr>
        <w:t>，</w:t>
      </w:r>
      <w:r>
        <w:rPr>
          <w:rFonts w:ascii="仿宋" w:hAnsi="仿宋" w:eastAsia="仿宋"/>
          <w:sz w:val="32"/>
          <w:szCs w:val="32"/>
        </w:rPr>
        <w:t>与锦灵中文、</w:t>
      </w:r>
      <w:r>
        <w:rPr>
          <w:rFonts w:hint="eastAsia" w:ascii="仿宋" w:hAnsi="仿宋" w:eastAsia="仿宋"/>
          <w:sz w:val="32"/>
          <w:szCs w:val="32"/>
        </w:rPr>
        <w:t>BC中文</w:t>
      </w:r>
      <w:r>
        <w:rPr>
          <w:rFonts w:ascii="仿宋" w:hAnsi="仿宋" w:eastAsia="仿宋"/>
          <w:sz w:val="32"/>
          <w:szCs w:val="32"/>
        </w:rPr>
        <w:t>等开展</w:t>
      </w:r>
      <w:r>
        <w:rPr>
          <w:rFonts w:hint="eastAsia" w:ascii="仿宋" w:hAnsi="仿宋" w:eastAsia="仿宋"/>
          <w:sz w:val="32"/>
          <w:szCs w:val="32"/>
        </w:rPr>
        <w:t>了</w:t>
      </w:r>
      <w:r>
        <w:rPr>
          <w:rFonts w:ascii="仿宋" w:hAnsi="仿宋" w:eastAsia="仿宋"/>
          <w:sz w:val="32"/>
          <w:szCs w:val="32"/>
        </w:rPr>
        <w:t>深度交流</w:t>
      </w:r>
      <w:r>
        <w:rPr>
          <w:rFonts w:hint="eastAsia" w:ascii="仿宋" w:hAnsi="仿宋" w:eastAsia="仿宋"/>
          <w:sz w:val="32"/>
          <w:szCs w:val="32"/>
        </w:rPr>
        <w:t>，</w:t>
      </w:r>
      <w:r>
        <w:rPr>
          <w:rFonts w:ascii="仿宋" w:hAnsi="仿宋" w:eastAsia="仿宋"/>
          <w:sz w:val="32"/>
          <w:szCs w:val="32"/>
        </w:rPr>
        <w:t>并就拟聘新进行业导师达成共识。</w:t>
      </w:r>
    </w:p>
    <w:p>
      <w:pPr>
        <w:ind w:firstLine="640" w:firstLineChars="200"/>
        <w:rPr>
          <w:rFonts w:ascii="仿宋" w:hAnsi="仿宋" w:eastAsia="仿宋"/>
          <w:sz w:val="32"/>
          <w:szCs w:val="32"/>
        </w:rPr>
      </w:pPr>
      <w:r>
        <w:rPr>
          <w:rFonts w:hint="eastAsia" w:ascii="仿宋" w:hAnsi="仿宋" w:eastAsia="仿宋"/>
          <w:sz w:val="32"/>
          <w:szCs w:val="32"/>
        </w:rPr>
        <w:t>在校外专家参与课程或讲座方面，2022年</w:t>
      </w:r>
      <w:r>
        <w:rPr>
          <w:rFonts w:ascii="仿宋" w:hAnsi="仿宋" w:eastAsia="仿宋"/>
          <w:sz w:val="32"/>
          <w:szCs w:val="32"/>
        </w:rPr>
        <w:t>，</w:t>
      </w:r>
      <w:r>
        <w:rPr>
          <w:rFonts w:hint="eastAsia" w:ascii="仿宋" w:hAnsi="仿宋" w:eastAsia="仿宋"/>
          <w:sz w:val="32"/>
          <w:szCs w:val="32"/>
        </w:rPr>
        <w:t>本学位点</w:t>
      </w:r>
      <w:r>
        <w:rPr>
          <w:rFonts w:ascii="仿宋" w:hAnsi="仿宋" w:eastAsia="仿宋"/>
          <w:sz w:val="32"/>
          <w:szCs w:val="32"/>
        </w:rPr>
        <w:t>先后</w:t>
      </w:r>
      <w:r>
        <w:rPr>
          <w:rFonts w:hint="eastAsia" w:ascii="仿宋" w:hAnsi="仿宋" w:eastAsia="仿宋"/>
          <w:sz w:val="32"/>
          <w:szCs w:val="32"/>
        </w:rPr>
        <w:t>邀请</w:t>
      </w:r>
      <w:r>
        <w:rPr>
          <w:rFonts w:ascii="仿宋" w:hAnsi="仿宋" w:eastAsia="仿宋"/>
          <w:sz w:val="32"/>
          <w:szCs w:val="32"/>
        </w:rPr>
        <w:t>多位校外专家为</w:t>
      </w:r>
      <w:r>
        <w:rPr>
          <w:rFonts w:hint="eastAsia" w:ascii="仿宋" w:hAnsi="仿宋" w:eastAsia="仿宋"/>
          <w:sz w:val="32"/>
          <w:szCs w:val="32"/>
        </w:rPr>
        <w:t>本学位点</w:t>
      </w:r>
      <w:r>
        <w:rPr>
          <w:rFonts w:ascii="仿宋" w:hAnsi="仿宋" w:eastAsia="仿宋"/>
          <w:sz w:val="32"/>
          <w:szCs w:val="32"/>
        </w:rPr>
        <w:t>汉语国际教育硕士开设讲座，</w:t>
      </w:r>
      <w:r>
        <w:rPr>
          <w:rFonts w:hint="eastAsia" w:ascii="仿宋" w:hAnsi="仿宋" w:eastAsia="仿宋"/>
          <w:sz w:val="32"/>
          <w:szCs w:val="32"/>
        </w:rPr>
        <w:t>包括北京</w:t>
      </w:r>
      <w:r>
        <w:rPr>
          <w:rFonts w:ascii="仿宋" w:hAnsi="仿宋" w:eastAsia="仿宋"/>
          <w:sz w:val="32"/>
          <w:szCs w:val="32"/>
        </w:rPr>
        <w:t>语言大学</w:t>
      </w:r>
      <w:r>
        <w:rPr>
          <w:rFonts w:hint="eastAsia" w:ascii="仿宋" w:hAnsi="仿宋" w:eastAsia="仿宋"/>
          <w:sz w:val="32"/>
          <w:szCs w:val="32"/>
        </w:rPr>
        <w:t>吴应辉</w:t>
      </w:r>
      <w:r>
        <w:rPr>
          <w:rFonts w:ascii="仿宋" w:hAnsi="仿宋" w:eastAsia="仿宋"/>
          <w:sz w:val="32"/>
          <w:szCs w:val="32"/>
        </w:rPr>
        <w:t>教授、北京</w:t>
      </w:r>
      <w:r>
        <w:rPr>
          <w:rFonts w:hint="eastAsia" w:ascii="仿宋" w:hAnsi="仿宋" w:eastAsia="仿宋"/>
          <w:sz w:val="32"/>
          <w:szCs w:val="32"/>
        </w:rPr>
        <w:t>第二外国语学院杨磊教授</w:t>
      </w:r>
      <w:r>
        <w:rPr>
          <w:rFonts w:ascii="仿宋" w:hAnsi="仿宋" w:eastAsia="仿宋"/>
          <w:sz w:val="32"/>
          <w:szCs w:val="32"/>
        </w:rPr>
        <w:t>教授</w:t>
      </w:r>
      <w:r>
        <w:rPr>
          <w:rFonts w:hint="eastAsia" w:ascii="仿宋" w:hAnsi="仿宋" w:eastAsia="仿宋"/>
          <w:sz w:val="32"/>
          <w:szCs w:val="32"/>
        </w:rPr>
        <w:t>、北京师范大学朱小健</w:t>
      </w:r>
      <w:r>
        <w:rPr>
          <w:rFonts w:ascii="仿宋" w:hAnsi="仿宋" w:eastAsia="仿宋"/>
          <w:sz w:val="32"/>
          <w:szCs w:val="32"/>
        </w:rPr>
        <w:t>教授</w:t>
      </w:r>
      <w:r>
        <w:rPr>
          <w:rFonts w:hint="eastAsia" w:ascii="仿宋" w:hAnsi="仿宋" w:eastAsia="仿宋"/>
          <w:sz w:val="32"/>
          <w:szCs w:val="32"/>
        </w:rPr>
        <w:t>等</w:t>
      </w:r>
      <w:r>
        <w:rPr>
          <w:rFonts w:ascii="仿宋" w:hAnsi="仿宋" w:eastAsia="仿宋"/>
          <w:sz w:val="32"/>
          <w:szCs w:val="32"/>
        </w:rPr>
        <w:t>。讲座主要围绕“</w:t>
      </w:r>
      <w:r>
        <w:rPr>
          <w:rFonts w:hint="eastAsia" w:ascii="仿宋" w:hAnsi="仿宋" w:eastAsia="仿宋"/>
          <w:sz w:val="32"/>
          <w:szCs w:val="32"/>
        </w:rPr>
        <w:t>国际中文教育类型划分参考框架构建</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管窥中韩文化交流</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汉字与中华文化</w:t>
      </w:r>
      <w:r>
        <w:rPr>
          <w:rFonts w:ascii="仿宋" w:hAnsi="仿宋" w:eastAsia="仿宋"/>
          <w:sz w:val="32"/>
          <w:szCs w:val="32"/>
        </w:rPr>
        <w:t>”</w:t>
      </w:r>
      <w:r>
        <w:rPr>
          <w:rFonts w:hint="eastAsia" w:ascii="仿宋" w:hAnsi="仿宋" w:eastAsia="仿宋"/>
          <w:sz w:val="32"/>
          <w:szCs w:val="32"/>
        </w:rPr>
        <w:t>等</w:t>
      </w:r>
      <w:r>
        <w:rPr>
          <w:rFonts w:ascii="仿宋" w:hAnsi="仿宋" w:eastAsia="仿宋"/>
          <w:sz w:val="32"/>
          <w:szCs w:val="32"/>
        </w:rPr>
        <w:t>展开。</w:t>
      </w:r>
    </w:p>
    <w:p>
      <w:pPr>
        <w:pStyle w:val="2"/>
        <w:spacing w:line="240" w:lineRule="auto"/>
        <w:ind w:firstLineChars="0"/>
        <w:jc w:val="left"/>
        <w:rPr>
          <w:rStyle w:val="11"/>
          <w:rFonts w:ascii="仿宋" w:hAnsi="仿宋" w:eastAsia="仿宋"/>
          <w:b/>
          <w:color w:val="auto"/>
          <w:szCs w:val="32"/>
        </w:rPr>
      </w:pPr>
      <w:r>
        <w:rPr>
          <w:rStyle w:val="11"/>
          <w:rFonts w:hint="eastAsia" w:ascii="仿宋" w:hAnsi="仿宋" w:eastAsia="仿宋"/>
          <w:b/>
          <w:color w:val="auto"/>
          <w:szCs w:val="32"/>
        </w:rPr>
        <w:t>3.</w:t>
      </w:r>
      <w:r>
        <w:rPr>
          <w:rStyle w:val="11"/>
          <w:rFonts w:ascii="仿宋" w:hAnsi="仿宋" w:eastAsia="仿宋"/>
          <w:b/>
          <w:color w:val="auto"/>
          <w:szCs w:val="32"/>
        </w:rPr>
        <w:t>科学研究</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2022年</w:t>
      </w:r>
      <w:r>
        <w:rPr>
          <w:rStyle w:val="11"/>
          <w:rFonts w:ascii="仿宋" w:hAnsi="仿宋" w:eastAsia="仿宋"/>
          <w:szCs w:val="32"/>
        </w:rPr>
        <w:t>，本学位点</w:t>
      </w:r>
      <w:r>
        <w:rPr>
          <w:rStyle w:val="11"/>
          <w:rFonts w:hint="eastAsia" w:ascii="仿宋" w:hAnsi="仿宋" w:eastAsia="仿宋"/>
          <w:szCs w:val="32"/>
        </w:rPr>
        <w:t>学术研究</w:t>
      </w:r>
      <w:r>
        <w:rPr>
          <w:rStyle w:val="11"/>
          <w:rFonts w:ascii="仿宋" w:hAnsi="仿宋" w:eastAsia="仿宋"/>
          <w:szCs w:val="32"/>
        </w:rPr>
        <w:t>方面获得</w:t>
      </w:r>
      <w:r>
        <w:rPr>
          <w:rStyle w:val="11"/>
          <w:rFonts w:hint="eastAsia" w:ascii="仿宋" w:hAnsi="仿宋" w:eastAsia="仿宋"/>
          <w:szCs w:val="32"/>
        </w:rPr>
        <w:t>突破</w:t>
      </w:r>
      <w:r>
        <w:rPr>
          <w:rStyle w:val="11"/>
          <w:rFonts w:ascii="仿宋" w:hAnsi="仿宋" w:eastAsia="仿宋"/>
          <w:szCs w:val="32"/>
        </w:rPr>
        <w:t>。汉语国际教育硕士导师</w:t>
      </w:r>
      <w:r>
        <w:rPr>
          <w:rStyle w:val="11"/>
          <w:rFonts w:hint="eastAsia" w:ascii="仿宋" w:hAnsi="仿宋" w:eastAsia="仿宋"/>
          <w:szCs w:val="32"/>
        </w:rPr>
        <w:t>刘云教授的专著《早期北京话语法演变专题研究》荣获北京市第十六届哲学社会科学优秀成果奖二等奖。这是本学位点首次获得省部级科研成果奖。在第二十三届华东地区古籍优秀图书奖评比中，刘云教授与徐大军先生共同主编的《历代方言俗语谣谚文献辑刊》（全40卷）荣获一等奖。</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2021年，本学位点教师与美国爱荷华大学合作的《爱荷华国际写作计划与当代汉语写作的国际化研究》项目圆满完成。</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2022年，本学位点响应学校号召，调整建设并启用新的研究生综合评价体系，在构建德智体美劳全面评价的背景下，充分结合我点研究生培养特色，鼓励研究生加强和导师的合作并积极参与更多的科研工作。</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本学位点继续</w:t>
      </w:r>
      <w:r>
        <w:rPr>
          <w:rStyle w:val="11"/>
          <w:rFonts w:ascii="仿宋" w:hAnsi="仿宋" w:eastAsia="仿宋"/>
          <w:szCs w:val="32"/>
        </w:rPr>
        <w:t>大力推进科研平台建设，</w:t>
      </w:r>
      <w:r>
        <w:rPr>
          <w:rStyle w:val="11"/>
          <w:rFonts w:hint="eastAsia" w:ascii="仿宋" w:hAnsi="仿宋" w:eastAsia="仿宋"/>
          <w:szCs w:val="32"/>
        </w:rPr>
        <w:t>着力打造北京语言与文化研究中心、国际商务汉语研究中心和中国文学海外传播研究中心；同时，酝酿“中华文化国际传播”、“区域文明交流与互鉴”两个新的研究中心，并以此为契机，凝练我点科研发展的核心方向，形成特色科研品牌，以此辐射带动整个学位点的科研水平和学界影响力。</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2021</w:t>
      </w:r>
      <w:r>
        <w:rPr>
          <w:rStyle w:val="11"/>
          <w:rFonts w:hint="eastAsia" w:ascii="仿宋" w:hAnsi="仿宋" w:eastAsia="仿宋"/>
          <w:szCs w:val="32"/>
        </w:rPr>
        <w:t>年12月，本学位点承接教育部中外语言交流合作中心横向项目国际中文教育创新课题《超大规模综合性国际商务中文语料库建设及新时代商务中文能力标准研发》和《国际中文教育水平等级标准数字资源建设项目》，进一步推进了专门用途中文研究和数字中文教学资源建设。</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在研究生培养过程中着重加强研究生良好学风和学术诚信建设。每年新生入学时会集中开展学术诚信教育，组织全体研究生签订《研究生学术诚信告知承诺书》；在日常培养过程中通过学系主任、研究生导师帮助研究生树立良好的学习动机，培养努力思考刻苦钻研的学习精神；同时会给全体研究生发放《研究生新生学术素养提升导读》，助力研究生新生更快地适应新的学习科研生活；此外，还会组织研究生参加研究生科学道德与学风建设活动，使研究生时刻铭记科研诚信，坚守学术伦理和道德。</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结合本学位点建设和研究生培养特色，我们重注学术训练过程，鼓励研究生学术成果产出，积极学术活动，推动学生赴海外教学实习。2022年，本点组织汉语教学技能大赛、汉字大赛、微课大赛、汉语角等活动10余项。2022全年我点共有20名同学赴海外任国际汉语教师志愿者。</w:t>
      </w:r>
    </w:p>
    <w:p>
      <w:pPr>
        <w:pStyle w:val="2"/>
        <w:spacing w:line="240" w:lineRule="auto"/>
        <w:ind w:firstLine="643"/>
        <w:jc w:val="left"/>
        <w:rPr>
          <w:rStyle w:val="11"/>
          <w:rFonts w:ascii="仿宋" w:hAnsi="仿宋" w:eastAsia="仿宋"/>
          <w:b/>
          <w:color w:val="auto"/>
          <w:szCs w:val="32"/>
        </w:rPr>
      </w:pPr>
      <w:r>
        <w:rPr>
          <w:rStyle w:val="11"/>
          <w:rFonts w:hint="eastAsia" w:ascii="仿宋" w:hAnsi="仿宋" w:eastAsia="仿宋"/>
          <w:b/>
          <w:color w:val="auto"/>
          <w:szCs w:val="32"/>
        </w:rPr>
        <w:t>4.</w:t>
      </w:r>
      <w:r>
        <w:rPr>
          <w:rStyle w:val="11"/>
          <w:rFonts w:ascii="仿宋" w:hAnsi="仿宋" w:eastAsia="仿宋"/>
          <w:b/>
          <w:color w:val="auto"/>
          <w:szCs w:val="32"/>
        </w:rPr>
        <w:t>社会服务</w:t>
      </w:r>
    </w:p>
    <w:p>
      <w:pPr>
        <w:widowControl/>
        <w:ind w:firstLine="640" w:firstLineChars="200"/>
        <w:textAlignment w:val="baseline"/>
        <w:rPr>
          <w:rStyle w:val="11"/>
          <w:rFonts w:ascii="仿宋" w:hAnsi="仿宋" w:eastAsia="仿宋"/>
          <w:szCs w:val="32"/>
        </w:rPr>
      </w:pPr>
      <w:r>
        <w:rPr>
          <w:rFonts w:hint="eastAsia" w:ascii="仿宋" w:hAnsi="仿宋" w:eastAsia="仿宋"/>
          <w:sz w:val="32"/>
          <w:szCs w:val="32"/>
        </w:rPr>
        <w:t>本学位点在服务“一带一路”倡议、汉语和中华文化国际传播、孔子学院建设、中外人文交流等方面正努力做出贡献。</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本学位点积极承揽国家语委和北京市语委委托的课题，为</w:t>
      </w:r>
      <w:r>
        <w:rPr>
          <w:rStyle w:val="11"/>
          <w:rFonts w:hint="eastAsia" w:ascii="仿宋" w:hAnsi="仿宋" w:eastAsia="仿宋"/>
          <w:szCs w:val="32"/>
          <w:lang w:val="en-US"/>
        </w:rPr>
        <w:t>我点</w:t>
      </w:r>
      <w:bookmarkStart w:id="0" w:name="_GoBack"/>
      <w:bookmarkEnd w:id="0"/>
      <w:r>
        <w:rPr>
          <w:rStyle w:val="11"/>
          <w:rFonts w:hint="eastAsia" w:ascii="仿宋" w:hAnsi="仿宋" w:eastAsia="仿宋"/>
          <w:szCs w:val="32"/>
        </w:rPr>
        <w:t>教师的研究成果更快更好地向社会服务转化创造良好条件；组织普通话测试以及普通话推广宣传活动，参加北京市教委语委组织的各类培训，举办各类中华经典诵读大赛等活动，为我校师生提供有益的帮助之余，也顺利完成了我校的语言文字工作。</w:t>
      </w:r>
    </w:p>
    <w:p>
      <w:pPr>
        <w:pStyle w:val="12"/>
        <w:widowControl/>
        <w:numPr>
          <w:ilvl w:val="0"/>
          <w:numId w:val="1"/>
        </w:numPr>
        <w:spacing w:before="312" w:beforeLines="100" w:line="560" w:lineRule="exact"/>
        <w:ind w:left="1066" w:firstLineChars="0"/>
        <w:textAlignment w:val="baseline"/>
        <w:rPr>
          <w:rStyle w:val="11"/>
          <w:rFonts w:ascii="Times New Roman" w:hAnsi="Times New Roman" w:eastAsia="黑体"/>
          <w:szCs w:val="32"/>
        </w:rPr>
      </w:pPr>
      <w:r>
        <w:rPr>
          <w:rStyle w:val="11"/>
          <w:rFonts w:hint="eastAsia" w:ascii="Times New Roman" w:hAnsi="Times New Roman" w:eastAsia="黑体"/>
          <w:szCs w:val="32"/>
        </w:rPr>
        <w:t>学位授权点教育质量</w:t>
      </w:r>
      <w:r>
        <w:rPr>
          <w:rStyle w:val="11"/>
          <w:rFonts w:ascii="Times New Roman" w:hAnsi="Times New Roman" w:eastAsia="黑体"/>
          <w:szCs w:val="32"/>
        </w:rPr>
        <w:t>评估与分析</w:t>
      </w:r>
    </w:p>
    <w:p>
      <w:pPr>
        <w:pStyle w:val="2"/>
        <w:spacing w:line="240" w:lineRule="auto"/>
        <w:ind w:firstLineChars="0"/>
        <w:rPr>
          <w:rStyle w:val="11"/>
          <w:rFonts w:ascii="仿宋" w:hAnsi="仿宋" w:eastAsia="仿宋"/>
          <w:b/>
          <w:color w:val="auto"/>
          <w:szCs w:val="32"/>
        </w:rPr>
      </w:pPr>
      <w:r>
        <w:rPr>
          <w:rStyle w:val="11"/>
          <w:rFonts w:hint="eastAsia" w:ascii="仿宋" w:hAnsi="仿宋" w:eastAsia="仿宋"/>
          <w:b/>
          <w:color w:val="auto"/>
          <w:szCs w:val="32"/>
        </w:rPr>
        <w:t>1.</w:t>
      </w:r>
      <w:r>
        <w:rPr>
          <w:rStyle w:val="11"/>
          <w:rFonts w:ascii="仿宋" w:hAnsi="仿宋" w:eastAsia="仿宋"/>
          <w:b/>
          <w:color w:val="auto"/>
          <w:szCs w:val="32"/>
        </w:rPr>
        <w:t>学位点</w:t>
      </w:r>
      <w:r>
        <w:rPr>
          <w:rStyle w:val="11"/>
          <w:rFonts w:hint="eastAsia" w:ascii="仿宋" w:hAnsi="仿宋" w:eastAsia="仿宋"/>
          <w:b/>
          <w:color w:val="auto"/>
          <w:szCs w:val="32"/>
        </w:rPr>
        <w:t>年度</w:t>
      </w:r>
      <w:r>
        <w:rPr>
          <w:rStyle w:val="11"/>
          <w:rFonts w:ascii="仿宋" w:hAnsi="仿宋" w:eastAsia="仿宋"/>
          <w:b/>
          <w:color w:val="auto"/>
          <w:szCs w:val="32"/>
        </w:rPr>
        <w:t>进展自我评估</w:t>
      </w:r>
    </w:p>
    <w:p>
      <w:pPr>
        <w:widowControl/>
        <w:ind w:firstLine="640" w:firstLineChars="200"/>
        <w:textAlignment w:val="baseline"/>
        <w:rPr>
          <w:rFonts w:ascii="仿宋" w:hAnsi="仿宋" w:eastAsia="仿宋"/>
          <w:sz w:val="32"/>
          <w:szCs w:val="32"/>
        </w:rPr>
      </w:pPr>
      <w:r>
        <w:rPr>
          <w:rFonts w:hint="eastAsia" w:ascii="仿宋" w:hAnsi="仿宋" w:eastAsia="仿宋"/>
          <w:sz w:val="32"/>
          <w:szCs w:val="32"/>
        </w:rPr>
        <w:t>在本次学位点自我评估中，我们可以看出，本学位点在以下几个方面取得了明显进展。</w:t>
      </w:r>
    </w:p>
    <w:p>
      <w:pPr>
        <w:widowControl/>
        <w:ind w:firstLine="640" w:firstLineChars="200"/>
        <w:textAlignment w:val="baseline"/>
        <w:rPr>
          <w:rFonts w:ascii="仿宋" w:hAnsi="仿宋" w:eastAsia="仿宋"/>
          <w:sz w:val="32"/>
          <w:szCs w:val="32"/>
        </w:rPr>
      </w:pPr>
      <w:r>
        <w:rPr>
          <w:rFonts w:hint="eastAsia" w:ascii="仿宋" w:hAnsi="仿宋" w:eastAsia="仿宋"/>
          <w:sz w:val="32"/>
          <w:szCs w:val="32"/>
        </w:rPr>
        <w:t>（1）本学位点科研成果取得突破。首次获得北京市第十六届哲学社会科学优秀成果奖二等奖，这是本学位点在学术研究方面的一次突破。同时，学位点先后承接教育部中外语言交流合作中心国际中文教育创新项目，为学科发展奠定基础。</w:t>
      </w:r>
    </w:p>
    <w:p>
      <w:pPr>
        <w:widowControl/>
        <w:ind w:firstLine="640" w:firstLineChars="200"/>
        <w:textAlignment w:val="baseline"/>
        <w:rPr>
          <w:rFonts w:ascii="仿宋" w:hAnsi="仿宋" w:eastAsia="仿宋"/>
          <w:sz w:val="32"/>
          <w:szCs w:val="32"/>
        </w:rPr>
      </w:pPr>
      <w:r>
        <w:rPr>
          <w:rFonts w:hint="eastAsia" w:ascii="仿宋" w:hAnsi="仿宋" w:eastAsia="仿宋"/>
          <w:sz w:val="32"/>
          <w:szCs w:val="32"/>
        </w:rPr>
        <w:t>（2）课程体系进一步优化。2022年，我们从课时、课程类型等方面对培养方案进行了优化调整，使之更加符合国际中文教育人才培养需要。同时，进一步实施提前培养，通过发布培养书单、举办学术讲座等形式，使2022级新生在2022年暑假提前进入培养阶段。</w:t>
      </w:r>
    </w:p>
    <w:p>
      <w:pPr>
        <w:widowControl/>
        <w:ind w:firstLine="640" w:firstLineChars="200"/>
        <w:textAlignment w:val="baseline"/>
        <w:rPr>
          <w:rFonts w:ascii="仿宋" w:hAnsi="仿宋" w:eastAsia="仿宋"/>
          <w:sz w:val="32"/>
          <w:szCs w:val="32"/>
        </w:rPr>
      </w:pPr>
      <w:r>
        <w:rPr>
          <w:rFonts w:hint="eastAsia" w:ascii="仿宋" w:hAnsi="仿宋" w:eastAsia="仿宋"/>
          <w:sz w:val="32"/>
          <w:szCs w:val="32"/>
        </w:rPr>
        <w:t>（3）海外中文教学与文化传播实习实践明显回温。与2021年相比，2022年本学位点有20位同学以国际中文教师志愿者身份赴国外实习，人数出现明显回升。</w:t>
      </w:r>
    </w:p>
    <w:p>
      <w:pPr>
        <w:widowControl/>
        <w:ind w:firstLine="640" w:firstLineChars="200"/>
        <w:textAlignment w:val="baseline"/>
        <w:rPr>
          <w:rFonts w:ascii="仿宋" w:hAnsi="仿宋" w:eastAsia="仿宋"/>
          <w:color w:val="000000" w:themeColor="text1"/>
          <w:sz w:val="32"/>
          <w:szCs w:val="32"/>
        </w:rPr>
      </w:pPr>
      <w:r>
        <w:rPr>
          <w:rFonts w:hint="eastAsia" w:ascii="仿宋" w:hAnsi="仿宋" w:eastAsia="仿宋"/>
          <w:sz w:val="32"/>
          <w:szCs w:val="32"/>
        </w:rPr>
        <w:t>（4）校外实习实训基地建设进一步拓展。结合汉语国际教育硕士毕业就业实际动向，同时考虑专业特点，2022年，我们长期合作</w:t>
      </w:r>
      <w:r>
        <w:rPr>
          <w:rFonts w:hint="eastAsia" w:ascii="仿宋" w:hAnsi="仿宋" w:eastAsia="仿宋"/>
          <w:color w:val="000000" w:themeColor="text1"/>
          <w:sz w:val="32"/>
          <w:szCs w:val="32"/>
        </w:rPr>
        <w:t>校外实习实训基地4家，为实践型人才培养提供有利平台。</w:t>
      </w:r>
    </w:p>
    <w:p>
      <w:pPr>
        <w:pStyle w:val="2"/>
        <w:spacing w:line="240" w:lineRule="auto"/>
        <w:ind w:firstLine="643"/>
        <w:rPr>
          <w:rStyle w:val="11"/>
          <w:rFonts w:ascii="仿宋" w:hAnsi="仿宋" w:eastAsia="仿宋"/>
          <w:b/>
          <w:color w:val="auto"/>
          <w:szCs w:val="32"/>
        </w:rPr>
      </w:pPr>
      <w:r>
        <w:rPr>
          <w:rStyle w:val="11"/>
          <w:rFonts w:hint="eastAsia" w:ascii="仿宋" w:hAnsi="仿宋" w:eastAsia="仿宋"/>
          <w:b/>
          <w:color w:val="auto"/>
          <w:szCs w:val="32"/>
        </w:rPr>
        <w:t>2.现有问题不足的自我评估</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通过自我评估，并与国内在汉语国际教育硕士培养方面有代表性的标杆性兄弟高校进行横向对比，我们发现，本学位点还存在以下需要提高或改进的方面。</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1）从历年学生毕业去向分析可以看出，本学位点无代表性毕业生在海外高校任教，无代表性毕业生选择成为孔子学院专职教师/公派教师，在海外中小学任教者也仅有2人，说明只有少数毕业生选择赴海外从事相关中文教学工作。</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（2）</w:t>
      </w:r>
      <w:r>
        <w:rPr>
          <w:rStyle w:val="11"/>
          <w:rFonts w:hint="eastAsia" w:ascii="仿宋" w:hAnsi="仿宋" w:eastAsia="仿宋"/>
          <w:szCs w:val="32"/>
        </w:rPr>
        <w:t>本学位点的代表性课程主要以专业选修课为主，只有汉语教学法与案例分析是专业必修课，大部分学校作为必修课的教学法/教学技能类课程和跨文化交际类课程都是设为专业选修课，作为选修课可能存在学生漏选情况。</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（3）本学位点目前的校外资源参与培养过程主要以讲座为主，对整个培养过程的参与还先不足。</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（4）</w:t>
      </w:r>
      <w:r>
        <w:rPr>
          <w:rStyle w:val="11"/>
          <w:rFonts w:hint="eastAsia" w:ascii="仿宋" w:hAnsi="仿宋" w:eastAsia="仿宋"/>
          <w:szCs w:val="32"/>
        </w:rPr>
        <w:t>在线教学案例的研究不足。2020年新冠疫情席卷全球，汉语线上教学逐渐成为海外汉语教学的主流，在常规线下教学无法恢复的情况下，针对汉语线上教学的案例具有极大的研究价值，而本校关于汉语线上教学的教学法与案例分析类代表性案例较少，具有较大研究空间，也有助于学生提高线上教学的能力。</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（5）</w:t>
      </w:r>
      <w:r>
        <w:rPr>
          <w:rStyle w:val="11"/>
          <w:rFonts w:hint="eastAsia" w:ascii="仿宋" w:hAnsi="仿宋" w:eastAsia="仿宋"/>
          <w:szCs w:val="32"/>
        </w:rPr>
        <w:t>在实习实践基地建设方面，本学位点缺少与国内的国际学校的合作。一方面，疫情形势下海外实习面临实际困难，国际学校的实习岗位可以成为面向二语者教学实习的有益替代；另一方面，国际学校作为本专业学生未来可选择的就业方向之一，建立相关实习基地并为有意愿到国际学校工作的学生提供实习岗位，将有效提高学生的教学实践能力。</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（6）</w:t>
      </w:r>
      <w:r>
        <w:rPr>
          <w:rStyle w:val="11"/>
          <w:rFonts w:hint="eastAsia" w:ascii="仿宋" w:hAnsi="仿宋" w:eastAsia="仿宋"/>
          <w:szCs w:val="32"/>
        </w:rPr>
        <w:t>本学位点研究生论文产出较少，且刊登的期刊层次有待提高。</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（7）</w:t>
      </w:r>
      <w:r>
        <w:rPr>
          <w:rStyle w:val="11"/>
          <w:rFonts w:hint="eastAsia" w:ascii="仿宋" w:hAnsi="仿宋" w:eastAsia="仿宋"/>
          <w:szCs w:val="32"/>
        </w:rPr>
        <w:t>本学位点缺少与海外高校的联合培养项目，如每年选拔派出学生赴合作院校攻读第二学位并进行实习，通过选拔派出学生，不仅可以使学生并获得双学位，而且为学生提供了稳定的汉语教学的实习机会。</w:t>
      </w:r>
    </w:p>
    <w:p>
      <w:pPr>
        <w:pStyle w:val="2"/>
        <w:spacing w:line="240" w:lineRule="auto"/>
        <w:ind w:firstLine="643"/>
        <w:rPr>
          <w:rStyle w:val="11"/>
          <w:rFonts w:ascii="仿宋" w:hAnsi="仿宋" w:eastAsia="仿宋"/>
          <w:b/>
          <w:color w:val="auto"/>
          <w:szCs w:val="32"/>
        </w:rPr>
      </w:pPr>
      <w:r>
        <w:rPr>
          <w:rStyle w:val="11"/>
          <w:rFonts w:hint="eastAsia" w:ascii="仿宋" w:hAnsi="仿宋" w:eastAsia="仿宋"/>
          <w:b/>
          <w:color w:val="auto"/>
          <w:szCs w:val="32"/>
        </w:rPr>
        <w:t>3.学校、北京市、国家三级研究生</w:t>
      </w:r>
      <w:r>
        <w:rPr>
          <w:rStyle w:val="11"/>
          <w:rFonts w:ascii="仿宋" w:hAnsi="仿宋" w:eastAsia="仿宋"/>
          <w:b/>
          <w:color w:val="auto"/>
          <w:szCs w:val="32"/>
        </w:rPr>
        <w:t>学位论文抽检情况</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202</w:t>
      </w:r>
      <w:r>
        <w:rPr>
          <w:rStyle w:val="11"/>
          <w:rFonts w:hint="eastAsia" w:ascii="仿宋" w:hAnsi="仿宋" w:eastAsia="仿宋"/>
          <w:szCs w:val="32"/>
        </w:rPr>
        <w:t>2年，本学位点被校级硕士学位论文抽检1篇（2021下-2022上硕士学位论文获得者），被北京市硕士学位论文抽检2篇（2020-2021学年度硕士学位论文获得者），均通过抽检，未发现论文质量问题。</w:t>
      </w:r>
    </w:p>
    <w:p>
      <w:pPr>
        <w:pStyle w:val="12"/>
        <w:widowControl/>
        <w:numPr>
          <w:ilvl w:val="0"/>
          <w:numId w:val="1"/>
        </w:numPr>
        <w:spacing w:before="312" w:beforeLines="100" w:line="560" w:lineRule="exact"/>
        <w:ind w:left="1066" w:firstLineChars="0"/>
        <w:textAlignment w:val="baseline"/>
        <w:rPr>
          <w:rStyle w:val="11"/>
          <w:rFonts w:ascii="Times New Roman" w:hAnsi="Times New Roman" w:eastAsia="黑体"/>
          <w:szCs w:val="32"/>
        </w:rPr>
      </w:pPr>
      <w:r>
        <w:rPr>
          <w:rStyle w:val="11"/>
          <w:rFonts w:ascii="Times New Roman" w:hAnsi="Times New Roman" w:eastAsia="黑体"/>
          <w:szCs w:val="32"/>
        </w:rPr>
        <w:t>改进措施</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通过本次年度自我评估，我们总结了学位点建设工作进展，也梳理了存在问题与不足。基于所发现的问题与不足，我们拟从以下方面进行改进。</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1）针对只有少数毕业生选择赴海外从事相关中文教学工作的问题，我们将继续引导学生树立“走出去”的思想观念，坚持专业方向，在招生复试引导、培养方案要求、入学后教育引导等方面，增强学生传承传播中华优秀语言文化的使命感与责任感，以优秀典型案例和现身说法，吸引更多毕业同学走出去，成为中华文化传播的使者。</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（2）</w:t>
      </w:r>
      <w:r>
        <w:rPr>
          <w:rStyle w:val="11"/>
          <w:rFonts w:hint="eastAsia" w:ascii="仿宋" w:hAnsi="仿宋" w:eastAsia="仿宋"/>
          <w:szCs w:val="32"/>
        </w:rPr>
        <w:t>针对本学位点的代表性课程主要以专业选修课为主，只有汉语教学法与案例分析是专业必修课的问题，2022年春季学期，我们将进一步优化调整培养方案，根据实际情况增加专业必修课范围，将更多核心课程纳入必修课，扩大选课学生的受众范围。</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3）针对本学位点目前校外资源参与培养过程主要以讲座为主对整个培养过程的参与还显不足的问题，春季学期我们拟邀请校外专家部分参与课程教学，一些课程中加入校外专家学者分享作为课程内容一部分，使学生能更多接触到优秀的校外资源，也可促进与校外资源的长期交流与合作。</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（4）</w:t>
      </w:r>
      <w:r>
        <w:rPr>
          <w:rStyle w:val="11"/>
          <w:rFonts w:hint="eastAsia" w:ascii="仿宋" w:hAnsi="仿宋" w:eastAsia="仿宋"/>
          <w:szCs w:val="32"/>
        </w:rPr>
        <w:t>针对在线教学案例的研究不足的问题，本学位点将在2022年春季学期扩大已有国际汉语教学案例库，将更多线上教学案例纳入案例库范围。</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（5）</w:t>
      </w:r>
      <w:r>
        <w:rPr>
          <w:rStyle w:val="11"/>
          <w:rFonts w:hint="eastAsia" w:ascii="仿宋" w:hAnsi="仿宋" w:eastAsia="仿宋"/>
          <w:szCs w:val="32"/>
        </w:rPr>
        <w:t>针对实习实践基地建设缺少国际学校的问题本学位点拟推进国际学校实习实践基地建设，2023年建设至少一所国际学校实习实践基地一所，鼓励在读学生到国际学校进行专业实习，有效提高教学实践能力。</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（6）</w:t>
      </w:r>
      <w:r>
        <w:rPr>
          <w:rStyle w:val="11"/>
          <w:rFonts w:hint="eastAsia" w:ascii="仿宋" w:hAnsi="仿宋" w:eastAsia="仿宋"/>
          <w:szCs w:val="32"/>
        </w:rPr>
        <w:t>针对本学位点研究生论文产出较少，且刊登的期刊层次有待提高的问题，我们将鼓励学生进一步提高学术素养和能力，鼓励学生将研究转化为成果，并力争更高层次学术期刊发表，并考虑进一步修订学生奖助制度，在奖学金相关规定中进一步明确学术发表的奖励加分，同时鼓励导师与学生合作研究，联合发表。</w:t>
      </w:r>
    </w:p>
    <w:p>
      <w:pPr>
        <w:widowControl/>
        <w:ind w:firstLine="640" w:firstLineChars="200"/>
        <w:textAlignment w:val="baseline"/>
        <w:rPr>
          <w:rStyle w:val="11"/>
          <w:rFonts w:ascii="仿宋" w:hAnsi="仿宋" w:eastAsia="仿宋"/>
          <w:szCs w:val="32"/>
        </w:rPr>
      </w:pPr>
      <w:r>
        <w:rPr>
          <w:rStyle w:val="11"/>
          <w:rFonts w:ascii="仿宋" w:hAnsi="仿宋" w:eastAsia="仿宋"/>
          <w:szCs w:val="32"/>
        </w:rPr>
        <w:t>（7）</w:t>
      </w:r>
      <w:r>
        <w:rPr>
          <w:rStyle w:val="11"/>
          <w:rFonts w:hint="eastAsia" w:ascii="仿宋" w:hAnsi="仿宋" w:eastAsia="仿宋"/>
          <w:szCs w:val="32"/>
        </w:rPr>
        <w:t>针对本学位点缺少与海外高校的联合培养项目的问题，2022年，我们将进一步扩大与海外高校的合作，签订意向协议，拓宽海外实习渠道。</w:t>
      </w:r>
    </w:p>
    <w:p>
      <w:pPr>
        <w:widowControl/>
        <w:ind w:firstLine="640" w:firstLineChars="200"/>
        <w:textAlignment w:val="baseline"/>
        <w:rPr>
          <w:rStyle w:val="11"/>
          <w:rFonts w:ascii="仿宋" w:hAnsi="仿宋" w:eastAsia="仿宋"/>
          <w:szCs w:val="32"/>
        </w:rPr>
      </w:pPr>
      <w:r>
        <w:rPr>
          <w:rStyle w:val="11"/>
          <w:rFonts w:hint="eastAsia" w:ascii="仿宋" w:hAnsi="仿宋" w:eastAsia="仿宋"/>
          <w:szCs w:val="32"/>
        </w:rPr>
        <w:t>（8）与教育部中外语言交流合作中心、全国汉语国际教育硕士教学指导委员会、世界汉语学会等领导机构加深联系，寻求更多业务指导，更积极配合相关组织领导机构的活动安排。</w:t>
      </w:r>
    </w:p>
    <w:p>
      <w:pPr>
        <w:widowControl/>
        <w:ind w:firstLine="640" w:firstLineChars="200"/>
        <w:textAlignment w:val="baseline"/>
        <w:rPr>
          <w:rStyle w:val="11"/>
          <w:rFonts w:ascii="仿宋" w:hAnsi="仿宋" w:eastAsia="仿宋"/>
          <w:szCs w:val="32"/>
        </w:rPr>
      </w:pPr>
    </w:p>
    <w:p>
      <w:pPr>
        <w:widowControl/>
        <w:ind w:firstLine="640" w:firstLineChars="200"/>
        <w:textAlignment w:val="baseline"/>
        <w:rPr>
          <w:rStyle w:val="11"/>
          <w:rFonts w:ascii="仿宋" w:hAnsi="仿宋" w:eastAsia="仿宋"/>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textAlignment w:val="baseline"/>
      <w:rPr>
        <w:rStyle w:val="11"/>
        <w:rFonts w:ascii="Times New Roman" w:hAnsi="Times New Roman" w:eastAsia="宋体"/>
        <w:sz w:val="18"/>
        <w:szCs w:val="18"/>
      </w:rPr>
    </w:pPr>
    <w:r>
      <w:pict>
        <v:shape id="文本框 19" o:spid="_x0000_s2052" o:spt="202" type="#_x0000_t202" style="position:absolute;left:0pt;margin-top:0pt;height:144pt;width:144pt;mso-position-horizontal:right;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HrHAIAABcEAAAOAAAAZHJzL2Uyb0RvYy54bWysU82O0zAQviPxDpbvNGkRq1I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uJZgozOv34fvr5cPr1jUAHgFrrZ/DbWHiG7p3p4DzoPZSx765yKt7oiMAOqI8XeEUX&#10;CI+fppPpNIeJwzY8ED97/G6dD++FUSQKBXWYX4KVHdY+9K6DS8ymzaqRMs1QatIW9Or1m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qksescAgAAFwQAAA4AAAAAAAAAAAAAAAAALgIAAGRycy9lMm9Eb2MueG1sUEsBAi0AFAAGAAgA&#10;AAAhAHGq0bnXAAAABQEAAA8AAAAAAAAAAAAAAAAAdgQAAGRycy9kb3ducmV2LnhtbFBLBQYAAAAA&#10;BAAEAPMAAAB6BQAAAAA=&#10;">
          <v:path/>
          <v:fill on="f" focussize="0,0"/>
          <v:stroke on="f" weight="0.5pt" joinstyle="miter"/>
          <v:imagedata o:title=""/>
          <o:lock v:ext="edit"/>
          <v:textbox inset="0mm,0mm,0mm,0mm" style="mso-fit-shape-to-text:t;">
            <w:txbxContent>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p>
            </w:txbxContent>
          </v:textbox>
        </v:shape>
      </w:pict>
    </w:r>
    <w:r>
      <w:rPr>
        <w:rStyle w:val="11"/>
        <w:rFonts w:ascii="Times New Roman" w:hAnsi="Times New Roman" w:eastAsia="宋体"/>
        <w:sz w:val="18"/>
        <w:szCs w:val="18"/>
      </w:rPr>
      <w:pict>
        <v:shape id="文本框 12" o:spid="_x0000_s2051" o:spt="202" type="#_x0000_t202" style="position:absolute;left:0pt;margin-top:0.65pt;height:144pt;width:144pt;mso-position-horizontal:center;mso-position-horizontal-relative:margin;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">
          <v:path/>
          <v:fill on="f" focussize="0,0"/>
          <v:stroke on="f" weight="1.25pt" joinstyle="miter"/>
          <v:imagedata o:title=""/>
          <o:lock v:ext="edit"/>
          <v:textbox inset="0mm,0mm,0mm,0mm">
            <w:txbxContent>
              <w:p>
                <w:pPr>
                  <w:pStyle w:val="5"/>
                  <w:widowControl/>
                  <w:jc w:val="both"/>
                  <w:textAlignment w:val="baseline"/>
                  <w:rPr>
                    <w:rStyle w:val="11"/>
                    <w:rFonts w:ascii="Times New Roman" w:hAnsi="Times New Roman" w:eastAsia="宋体"/>
                    <w:sz w:val="20"/>
                    <w:szCs w:val="18"/>
                  </w:rPr>
                </w:pPr>
              </w:p>
              <w:p>
                <w:pPr>
                  <w:textAlignment w:val="baseline"/>
                  <w:rPr>
                    <w:rStyle w:val="11"/>
                    <w:rFonts w:ascii="Times New Roman" w:hAnsi="Times New Roman" w:eastAsia="宋体"/>
                    <w:sz w:val="2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center"/>
      <w:textAlignment w:val="baseline"/>
      <w:rPr>
        <w:rStyle w:val="11"/>
        <w:rFonts w:ascii="Times New Roman" w:hAnsi="Times New Roman" w:eastAsia="宋体"/>
        <w:sz w:val="28"/>
        <w:szCs w:val="28"/>
      </w:rPr>
    </w:pPr>
    <w:r>
      <w:rPr>
        <w:sz w:val="28"/>
      </w:rPr>
      <w:pict>
        <v:shape id="文本框 20" o:spid="_x0000_s2050" o:spt="202" type="#_x0000_t202" style="position:absolute;left:0pt;margin-top:0pt;height:144pt;width:144pt;mso-position-horizontal:right;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SjXwOR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p>
            </w:txbxContent>
          </v:textbox>
        </v:shape>
      </w:pict>
    </w:r>
  </w:p>
  <w:p>
    <w:pPr>
      <w:pStyle w:val="5"/>
      <w:widowControl/>
      <w:jc w:val="center"/>
      <w:textAlignment w:val="baseline"/>
      <w:rPr>
        <w:rStyle w:val="11"/>
        <w:rFonts w:ascii="Times New Roman" w:hAnsi="Times New Roman" w:eastAsia="宋体"/>
        <w:sz w:val="28"/>
        <w:szCs w:val="28"/>
      </w:rPr>
    </w:pPr>
    <w:r>
      <w:rPr>
        <w:rStyle w:val="11"/>
        <w:rFonts w:ascii="Times New Roman" w:hAnsi="Times New Roman" w:eastAsia="宋体"/>
        <w:sz w:val="28"/>
        <w:szCs w:val="28"/>
      </w:rPr>
      <w:pict>
        <v:shape id="文本框 8" o:spid="_x0000_s2049" o:spt="202" type="#_x0000_t202" style="position:absolute;left:0pt;margin-top:0pt;height:144pt;width:144pt;mso-position-horizontal:center;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">
          <v:path/>
          <v:fill on="f" focussize="0,0"/>
          <v:stroke on="f" weight="1.25pt" joinstyle="miter"/>
          <v:imagedata o:title=""/>
          <o:lock v:ext="edit"/>
          <v:textbox inset="0mm,0mm,0mm,0mm">
            <w:txbxContent>
              <w:p>
                <w:pPr>
                  <w:pStyle w:val="5"/>
                  <w:widowControl/>
                  <w:jc w:val="center"/>
                  <w:textAlignment w:val="baseline"/>
                  <w:rPr>
                    <w:rStyle w:val="11"/>
                    <w:rFonts w:ascii="仿宋_GB2312" w:hAnsi="仿宋_GB2312" w:eastAsia="仿宋_GB2312"/>
                    <w:sz w:val="28"/>
                    <w:szCs w:val="28"/>
                  </w:rPr>
                </w:pPr>
              </w:p>
              <w:p>
                <w:pPr>
                  <w:textAlignment w:val="baseline"/>
                  <w:rPr>
                    <w:rStyle w:val="11"/>
                    <w:rFonts w:ascii="Times New Roman" w:hAnsi="Times New Roman" w:eastAsia="宋体"/>
                    <w:sz w:val="21"/>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602A3"/>
    <w:multiLevelType w:val="multilevel"/>
    <w:tmpl w:val="632602A3"/>
    <w:lvl w:ilvl="0" w:tentative="0">
      <w:start w:val="1"/>
      <w:numFmt w:val="chineseCountingThousand"/>
      <w:lvlText w:val="%1."/>
      <w:lvlJc w:val="left"/>
      <w:pPr>
        <w:ind w:left="1065" w:hanging="420"/>
      </w:pPr>
      <w:rPr>
        <w:rFonts w:hint="eastAsia" w:ascii="黑体" w:hAnsi="黑体" w:eastAsia="黑体"/>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ZkZDEzOGMyZWU3MTdlOGQyYTM2ZGQ0YjVlYWQ3NzIifQ=="/>
  </w:docVars>
  <w:rsids>
    <w:rsidRoot w:val="40996205"/>
    <w:rsid w:val="00002C9A"/>
    <w:rsid w:val="00036783"/>
    <w:rsid w:val="00045C69"/>
    <w:rsid w:val="00054481"/>
    <w:rsid w:val="00077270"/>
    <w:rsid w:val="000B3BE9"/>
    <w:rsid w:val="000C0061"/>
    <w:rsid w:val="000E6648"/>
    <w:rsid w:val="00104668"/>
    <w:rsid w:val="00105AA5"/>
    <w:rsid w:val="00106F59"/>
    <w:rsid w:val="00107B27"/>
    <w:rsid w:val="00114B63"/>
    <w:rsid w:val="001345DE"/>
    <w:rsid w:val="001529BF"/>
    <w:rsid w:val="001863F0"/>
    <w:rsid w:val="001A177E"/>
    <w:rsid w:val="001A2E94"/>
    <w:rsid w:val="001A3ED1"/>
    <w:rsid w:val="001A792E"/>
    <w:rsid w:val="001D39D7"/>
    <w:rsid w:val="001F3775"/>
    <w:rsid w:val="0020018A"/>
    <w:rsid w:val="00205F03"/>
    <w:rsid w:val="00215362"/>
    <w:rsid w:val="00215CEC"/>
    <w:rsid w:val="00223568"/>
    <w:rsid w:val="002315EE"/>
    <w:rsid w:val="00232D3C"/>
    <w:rsid w:val="00275732"/>
    <w:rsid w:val="002873A7"/>
    <w:rsid w:val="00291F86"/>
    <w:rsid w:val="00294096"/>
    <w:rsid w:val="002A5CCB"/>
    <w:rsid w:val="002A6FE1"/>
    <w:rsid w:val="002D51EE"/>
    <w:rsid w:val="002E4A25"/>
    <w:rsid w:val="00302E89"/>
    <w:rsid w:val="0034529F"/>
    <w:rsid w:val="00346A40"/>
    <w:rsid w:val="00374524"/>
    <w:rsid w:val="00394689"/>
    <w:rsid w:val="003A1BC9"/>
    <w:rsid w:val="003B4AB7"/>
    <w:rsid w:val="003C7A61"/>
    <w:rsid w:val="003D5970"/>
    <w:rsid w:val="003E135A"/>
    <w:rsid w:val="003E1DD6"/>
    <w:rsid w:val="003E44D0"/>
    <w:rsid w:val="003E6421"/>
    <w:rsid w:val="003F7B0B"/>
    <w:rsid w:val="00400C54"/>
    <w:rsid w:val="00415C13"/>
    <w:rsid w:val="00473C7A"/>
    <w:rsid w:val="004E4374"/>
    <w:rsid w:val="004F34BD"/>
    <w:rsid w:val="005165E2"/>
    <w:rsid w:val="005344B8"/>
    <w:rsid w:val="00534595"/>
    <w:rsid w:val="005715F4"/>
    <w:rsid w:val="005759EF"/>
    <w:rsid w:val="0058685C"/>
    <w:rsid w:val="00596AD3"/>
    <w:rsid w:val="005A4550"/>
    <w:rsid w:val="005B0BA1"/>
    <w:rsid w:val="005B47FB"/>
    <w:rsid w:val="005D36FF"/>
    <w:rsid w:val="00604AD4"/>
    <w:rsid w:val="006143A7"/>
    <w:rsid w:val="00630188"/>
    <w:rsid w:val="00651A0F"/>
    <w:rsid w:val="00691ACA"/>
    <w:rsid w:val="006B25A5"/>
    <w:rsid w:val="006D6DB2"/>
    <w:rsid w:val="006E2EA8"/>
    <w:rsid w:val="006F12CB"/>
    <w:rsid w:val="0071236E"/>
    <w:rsid w:val="0071453C"/>
    <w:rsid w:val="007159A3"/>
    <w:rsid w:val="00723137"/>
    <w:rsid w:val="007255F3"/>
    <w:rsid w:val="007436D8"/>
    <w:rsid w:val="00754135"/>
    <w:rsid w:val="007653A9"/>
    <w:rsid w:val="007666BC"/>
    <w:rsid w:val="00767D08"/>
    <w:rsid w:val="00771D3D"/>
    <w:rsid w:val="00790AD5"/>
    <w:rsid w:val="0079563A"/>
    <w:rsid w:val="007C1FA7"/>
    <w:rsid w:val="007C6C6C"/>
    <w:rsid w:val="007E14B4"/>
    <w:rsid w:val="007E34E4"/>
    <w:rsid w:val="00816FFD"/>
    <w:rsid w:val="00856D8D"/>
    <w:rsid w:val="00872BCF"/>
    <w:rsid w:val="0087411B"/>
    <w:rsid w:val="00883427"/>
    <w:rsid w:val="008A23A9"/>
    <w:rsid w:val="008C63FC"/>
    <w:rsid w:val="008D2151"/>
    <w:rsid w:val="008E1B67"/>
    <w:rsid w:val="008E56E9"/>
    <w:rsid w:val="0096219F"/>
    <w:rsid w:val="00972794"/>
    <w:rsid w:val="0098109C"/>
    <w:rsid w:val="009839A9"/>
    <w:rsid w:val="009B0A9B"/>
    <w:rsid w:val="009D5CA6"/>
    <w:rsid w:val="009F0715"/>
    <w:rsid w:val="009F4A8E"/>
    <w:rsid w:val="00A00AA4"/>
    <w:rsid w:val="00A066A0"/>
    <w:rsid w:val="00A247AD"/>
    <w:rsid w:val="00A27CA3"/>
    <w:rsid w:val="00A509EE"/>
    <w:rsid w:val="00A6733B"/>
    <w:rsid w:val="00A748D4"/>
    <w:rsid w:val="00A83EE0"/>
    <w:rsid w:val="00AE36D1"/>
    <w:rsid w:val="00B04BA5"/>
    <w:rsid w:val="00B215E6"/>
    <w:rsid w:val="00B239A3"/>
    <w:rsid w:val="00B25FE7"/>
    <w:rsid w:val="00B334F6"/>
    <w:rsid w:val="00B60CE4"/>
    <w:rsid w:val="00B72FC2"/>
    <w:rsid w:val="00B735C6"/>
    <w:rsid w:val="00B904FF"/>
    <w:rsid w:val="00BA5FC2"/>
    <w:rsid w:val="00BB3454"/>
    <w:rsid w:val="00BC7AE7"/>
    <w:rsid w:val="00BF1C29"/>
    <w:rsid w:val="00BF2D6D"/>
    <w:rsid w:val="00C32C21"/>
    <w:rsid w:val="00C53289"/>
    <w:rsid w:val="00C5579A"/>
    <w:rsid w:val="00C62CB3"/>
    <w:rsid w:val="00C67E64"/>
    <w:rsid w:val="00C86801"/>
    <w:rsid w:val="00C940B1"/>
    <w:rsid w:val="00CE2C58"/>
    <w:rsid w:val="00CF2EBE"/>
    <w:rsid w:val="00D03B98"/>
    <w:rsid w:val="00D162C5"/>
    <w:rsid w:val="00D34237"/>
    <w:rsid w:val="00D41A6A"/>
    <w:rsid w:val="00D45B51"/>
    <w:rsid w:val="00D71691"/>
    <w:rsid w:val="00D82DEE"/>
    <w:rsid w:val="00D873BF"/>
    <w:rsid w:val="00D87AB6"/>
    <w:rsid w:val="00DC4F7A"/>
    <w:rsid w:val="00DD426C"/>
    <w:rsid w:val="00DD6AA8"/>
    <w:rsid w:val="00DE0B16"/>
    <w:rsid w:val="00DE57C3"/>
    <w:rsid w:val="00DF3703"/>
    <w:rsid w:val="00E044D8"/>
    <w:rsid w:val="00E1471E"/>
    <w:rsid w:val="00E22E12"/>
    <w:rsid w:val="00E237CB"/>
    <w:rsid w:val="00E454F0"/>
    <w:rsid w:val="00E633F9"/>
    <w:rsid w:val="00E95BEB"/>
    <w:rsid w:val="00EB334E"/>
    <w:rsid w:val="00EB5454"/>
    <w:rsid w:val="00ED1A2A"/>
    <w:rsid w:val="00F12A91"/>
    <w:rsid w:val="00F13A2D"/>
    <w:rsid w:val="00F13D3E"/>
    <w:rsid w:val="00F15600"/>
    <w:rsid w:val="00F7407B"/>
    <w:rsid w:val="00F96B38"/>
    <w:rsid w:val="00FA5199"/>
    <w:rsid w:val="00FA64A7"/>
    <w:rsid w:val="00FB3453"/>
    <w:rsid w:val="00FB362C"/>
    <w:rsid w:val="00FB7AFD"/>
    <w:rsid w:val="00FE528F"/>
    <w:rsid w:val="0A7A7683"/>
    <w:rsid w:val="284A5495"/>
    <w:rsid w:val="3EE465E8"/>
    <w:rsid w:val="40996205"/>
    <w:rsid w:val="43FA3C0F"/>
    <w:rsid w:val="4CCF74E6"/>
    <w:rsid w:val="52E80E22"/>
    <w:rsid w:val="55D903ED"/>
    <w:rsid w:val="6D424B78"/>
    <w:rsid w:val="6FF02978"/>
    <w:rsid w:val="70800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Autospacing="1" w:afterAutospacing="1"/>
      <w:jc w:val="left"/>
    </w:pPr>
    <w:rPr>
      <w:rFonts w:asciiTheme="minorHAnsi" w:hAnsiTheme="minorHAnsi" w:eastAsiaTheme="minorEastAsia"/>
      <w:kern w:val="0"/>
      <w:sz w:val="24"/>
      <w:szCs w:val="22"/>
    </w:rPr>
  </w:style>
  <w:style w:type="table" w:styleId="9">
    <w:name w:val="Table Grid"/>
    <w:basedOn w:val="8"/>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NormalCharacter"/>
    <w:semiHidden/>
    <w:qFormat/>
    <w:uiPriority w:val="0"/>
    <w:rPr>
      <w:rFonts w:ascii="Calibri" w:hAnsi="Calibri" w:eastAsia="方正仿宋简体" w:cs="Times New Roman"/>
      <w:kern w:val="2"/>
      <w:sz w:val="32"/>
      <w:szCs w:val="24"/>
      <w:lang w:val="en-US" w:eastAsia="zh-CN" w:bidi="ar-SA"/>
    </w:rPr>
  </w:style>
  <w:style w:type="paragraph" w:styleId="12">
    <w:name w:val="List Paragraph"/>
    <w:basedOn w:val="1"/>
    <w:qFormat/>
    <w:uiPriority w:val="99"/>
    <w:pPr>
      <w:ind w:firstLine="420" w:firstLineChars="200"/>
    </w:pPr>
  </w:style>
  <w:style w:type="character" w:customStyle="1" w:styleId="13">
    <w:name w:val="页眉 Char"/>
    <w:basedOn w:val="10"/>
    <w:link w:val="6"/>
    <w:qFormat/>
    <w:uiPriority w:val="0"/>
    <w:rPr>
      <w:rFonts w:ascii="Calibri" w:hAnsi="Calibri" w:eastAsia="宋体" w:cs="Times New Roman"/>
      <w:kern w:val="2"/>
      <w:sz w:val="18"/>
      <w:szCs w:val="18"/>
    </w:rPr>
  </w:style>
  <w:style w:type="paragraph" w:customStyle="1" w:styleId="14">
    <w:name w:val="Table Paragraph"/>
    <w:basedOn w:val="1"/>
    <w:qFormat/>
    <w:uiPriority w:val="1"/>
    <w:rPr>
      <w:rFonts w:ascii="宋体" w:hAnsi="宋体" w:cs="宋体"/>
      <w:szCs w:val="22"/>
      <w:lang w:val="zh-CN" w:bidi="zh-CN"/>
    </w:rPr>
  </w:style>
  <w:style w:type="character" w:customStyle="1" w:styleId="15">
    <w:name w:val="标题 1 Char"/>
    <w:basedOn w:val="10"/>
    <w:link w:val="3"/>
    <w:qFormat/>
    <w:uiPriority w:val="0"/>
    <w:rPr>
      <w:rFonts w:ascii="Calibri" w:hAnsi="Calibri" w:eastAsia="宋体" w:cs="Times New Roman"/>
      <w:b/>
      <w:bCs/>
      <w:kern w:val="44"/>
      <w:sz w:val="44"/>
      <w:szCs w:val="44"/>
    </w:rPr>
  </w:style>
  <w:style w:type="character" w:customStyle="1" w:styleId="16">
    <w:name w:val="批注框文本 Char"/>
    <w:basedOn w:val="10"/>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K:\&#30805;&#22763;&#22521;&#20859;\&#23398;&#29983;&#20449;&#24687;%26&#36814;&#26032;&#23601;&#19994;\&#23398;&#29983;&#20449;&#24687;\&#20449;&#24687;&#25968;&#25454;\&#12304;&#20013;&#25991;&#23398;&#38498;&#12305;&#27721;&#25945;&#30805;&#22763;&#25968;&#25454;&#38598;202112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6700;&#38754;\&#12304;&#20013;&#25991;&#23398;&#38498;&#12305;&#27721;&#25945;&#30805;&#22763;&#25968;&#25454;&#38598;2021121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0805;&#22763;&#22521;&#20859;\&#23398;&#29983;&#20449;&#24687;%26&#36814;&#26032;&#23601;&#19994;\&#23398;&#29983;&#20449;&#24687;\&#20449;&#24687;&#25968;&#25454;\&#12304;&#20013;&#25991;&#23398;&#38498;&#12305;&#27721;&#25945;&#30805;&#22763;&#25968;&#25454;&#38598;20220119.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solidFill>
                  <a:schemeClr val="tx1"/>
                </a:solidFill>
              </a:rPr>
              <a:t>就业去向分布</a:t>
            </a:r>
            <a:endParaRPr lang="zh-CN" altLang="en-US" sz="1200" b="1">
              <a:solidFill>
                <a:schemeClr val="tx1"/>
              </a:solidFill>
            </a:endParaRPr>
          </a:p>
        </c:rich>
      </c:tx>
      <c:layout>
        <c:manualLayout>
          <c:xMode val="edge"/>
          <c:yMode val="edge"/>
          <c:x val="0.00101347889282767"/>
          <c:y val="0.0327195757421818"/>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7"/>
              <c:layout>
                <c:manualLayout>
                  <c:x val="0.00138888888888887"/>
                  <c:y val="-0.0694444444444445"/>
                </c:manualLayout>
              </c:layout>
              <c:dLblPos val="bestFit"/>
              <c:showLegendKey val="1"/>
              <c:showVal val="1"/>
              <c:showCatName val="1"/>
              <c:showSerName val="0"/>
              <c:showPercent val="1"/>
              <c:showBubbleSize val="0"/>
              <c:extLst>
                <c:ext xmlns:c15="http://schemas.microsoft.com/office/drawing/2012/chart" uri="{CE6537A1-D6FC-4f65-9D91-7224C49458BB}">
                  <c15:layout>
                    <c:manualLayout>
                      <c:w val="0.286031933508311"/>
                      <c:h val="0.11891221930592"/>
                    </c:manualLayout>
                  </c15:layout>
                </c:ext>
              </c:extLst>
            </c:dLbl>
            <c:dLbl>
              <c:idx val="8"/>
              <c:layout>
                <c:manualLayout>
                  <c:x val="-0.0972222222222222"/>
                  <c:y val="0"/>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'Grad&amp;Empl'!$E$35:$E$44</c:f>
              <c:strCache>
                <c:ptCount val="10"/>
                <c:pt idx="0">
                  <c:v>高等教育单位</c:v>
                </c:pt>
                <c:pt idx="1">
                  <c:v>继续深造</c:v>
                </c:pt>
                <c:pt idx="2">
                  <c:v>教育培训机构</c:v>
                </c:pt>
                <c:pt idx="3">
                  <c:v>其他类型企业</c:v>
                </c:pt>
                <c:pt idx="4">
                  <c:v>中小学</c:v>
                </c:pt>
                <c:pt idx="5">
                  <c:v>出国工作</c:v>
                </c:pt>
                <c:pt idx="6">
                  <c:v>事业单位</c:v>
                </c:pt>
                <c:pt idx="7">
                  <c:v>文化传媒企业</c:v>
                </c:pt>
                <c:pt idx="8">
                  <c:v>政府部门</c:v>
                </c:pt>
                <c:pt idx="9">
                  <c:v>自由职业</c:v>
                </c:pt>
              </c:strCache>
            </c:strRef>
          </c:cat>
          <c:val>
            <c:numRef>
              <c:f>'Grad&amp;Empl'!$F$35:$F$44</c:f>
              <c:numCache>
                <c:formatCode>General</c:formatCode>
                <c:ptCount val="10"/>
                <c:pt idx="0">
                  <c:v>11</c:v>
                </c:pt>
                <c:pt idx="1">
                  <c:v>6</c:v>
                </c:pt>
                <c:pt idx="2">
                  <c:v>14</c:v>
                </c:pt>
                <c:pt idx="3">
                  <c:v>12</c:v>
                </c:pt>
                <c:pt idx="4">
                  <c:v>38</c:v>
                </c:pt>
                <c:pt idx="5">
                  <c:v>2</c:v>
                </c:pt>
                <c:pt idx="6">
                  <c:v>15</c:v>
                </c:pt>
                <c:pt idx="7">
                  <c:v>4</c:v>
                </c:pt>
                <c:pt idx="8">
                  <c:v>3</c:v>
                </c:pt>
                <c:pt idx="9">
                  <c:v>4</c:v>
                </c:pt>
              </c:numCache>
            </c:numRef>
          </c:val>
        </c:ser>
        <c:dLbls>
          <c:showLegendKey val="1"/>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t>本专业学位招生人数</a:t>
            </a:r>
            <a:endParaRPr lang="zh-CN" altLang="en-US" b="1"/>
          </a:p>
        </c:rich>
      </c:tx>
      <c:layout/>
      <c:overlay val="0"/>
      <c:spPr>
        <a:noFill/>
        <a:ln w="25400">
          <a:noFill/>
        </a:ln>
      </c:spPr>
    </c:title>
    <c:autoTitleDeleted val="0"/>
    <c:plotArea>
      <c:layout/>
      <c:barChart>
        <c:barDir val="col"/>
        <c:grouping val="clustered"/>
        <c:varyColors val="0"/>
        <c:ser>
          <c:idx val="6"/>
          <c:order val="0"/>
          <c:spPr>
            <a:solidFill>
              <a:schemeClr val="accent1">
                <a:lumMod val="60000"/>
              </a:schemeClr>
            </a:solidFill>
            <a:ln>
              <a:noFill/>
            </a:ln>
            <a:effectLst/>
          </c:spPr>
          <c:invertIfNegative val="0"/>
          <c:dLbls>
            <c:spPr>
              <a:noFill/>
              <a:ln w="25400">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chemeClr val="accent1">
                    <a:lumMod val="60000"/>
                  </a:schemeClr>
                </a:solidFill>
                <a:prstDash val="sysDot"/>
                <a:round/>
              </a:ln>
              <a:effectLst/>
            </c:spPr>
            <c:trendlineType val="linear"/>
            <c:dispRSqr val="0"/>
            <c:dispEq val="0"/>
          </c:trendline>
          <c:cat>
            <c:numRef>
              <c:f>EnrollmentData!$A$3:$A$10</c:f>
              <c:numCache>
                <c:formatCode>General</c:formatCode>
                <c:ptCount val="8"/>
                <c:pt idx="0">
                  <c:v>2015</c:v>
                </c:pt>
                <c:pt idx="1">
                  <c:v>2016</c:v>
                </c:pt>
                <c:pt idx="2">
                  <c:v>2017</c:v>
                </c:pt>
                <c:pt idx="3">
                  <c:v>2018</c:v>
                </c:pt>
                <c:pt idx="4">
                  <c:v>2019</c:v>
                </c:pt>
                <c:pt idx="5">
                  <c:v>2020</c:v>
                </c:pt>
                <c:pt idx="6">
                  <c:v>2021</c:v>
                </c:pt>
                <c:pt idx="7">
                  <c:v>2022</c:v>
                </c:pt>
              </c:numCache>
            </c:numRef>
          </c:cat>
          <c:val>
            <c:numRef>
              <c:f>EnrollmentData!$H$3:$H$10</c:f>
              <c:numCache>
                <c:formatCode>General</c:formatCode>
                <c:ptCount val="8"/>
                <c:pt idx="0">
                  <c:v>23</c:v>
                </c:pt>
                <c:pt idx="1">
                  <c:v>32</c:v>
                </c:pt>
                <c:pt idx="2">
                  <c:v>38</c:v>
                </c:pt>
                <c:pt idx="3">
                  <c:v>36</c:v>
                </c:pt>
                <c:pt idx="4">
                  <c:v>46</c:v>
                </c:pt>
                <c:pt idx="5">
                  <c:v>52</c:v>
                </c:pt>
                <c:pt idx="6">
                  <c:v>46</c:v>
                </c:pt>
                <c:pt idx="7">
                  <c:v>51</c:v>
                </c:pt>
              </c:numCache>
            </c:numRef>
          </c:val>
        </c:ser>
        <c:dLbls>
          <c:showLegendKey val="0"/>
          <c:showVal val="0"/>
          <c:showCatName val="0"/>
          <c:showSerName val="0"/>
          <c:showPercent val="0"/>
          <c:showBubbleSize val="0"/>
        </c:dLbls>
        <c:gapWidth val="219"/>
        <c:overlap val="-27"/>
        <c:axId val="656622672"/>
        <c:axId val="656623232"/>
      </c:barChart>
      <c:catAx>
        <c:axId val="65662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623232"/>
        <c:crosses val="autoZero"/>
        <c:auto val="1"/>
        <c:lblAlgn val="ctr"/>
        <c:lblOffset val="100"/>
        <c:noMultiLvlLbl val="0"/>
      </c:catAx>
      <c:valAx>
        <c:axId val="6566232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6226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200" b="1">
                <a:solidFill>
                  <a:schemeClr val="tx1"/>
                </a:solidFill>
              </a:rPr>
              <a:t>2021</a:t>
            </a:r>
            <a:r>
              <a:rPr lang="zh-CN" altLang="en-US" sz="1200" b="1">
                <a:solidFill>
                  <a:schemeClr val="tx1"/>
                </a:solidFill>
              </a:rPr>
              <a:t>届汉语国际教育硕士毕业生去向分布</a:t>
            </a:r>
            <a:endParaRPr lang="zh-CN" altLang="en-US" sz="1200" b="1">
              <a:solidFill>
                <a:schemeClr val="tx1"/>
              </a:solidFill>
            </a:endParaRPr>
          </a:p>
        </c:rich>
      </c:tx>
      <c:layout>
        <c:manualLayout>
          <c:xMode val="edge"/>
          <c:yMode val="edge"/>
          <c:x val="0.210402624216639"/>
          <c:y val="0"/>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manualLayout>
                  <c:x val="-0.025"/>
                  <c:y val="0.00925925925925927"/>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36347112860892"/>
                      <c:h val="0.11891221930592"/>
                    </c:manualLayout>
                  </c15:layout>
                </c:ext>
              </c:extLst>
            </c:dLbl>
            <c:dLbl>
              <c:idx val="5"/>
              <c:delete val="1"/>
            </c:dLbl>
            <c:dLbl>
              <c:idx val="7"/>
              <c:delete val="1"/>
            </c:dLbl>
            <c:dLbl>
              <c:idx val="8"/>
              <c:delete val="1"/>
            </c:dLbl>
            <c:dLbl>
              <c:idx val="9"/>
              <c:layout>
                <c:manualLayout>
                  <c:x val="-0.0388888888888889"/>
                  <c:y val="0.0046296296296295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'[【中文学院】汉教硕士数据集20220119.xls]Grad&amp;Empl'!$E$49:$E$58</c:f>
              <c:strCache>
                <c:ptCount val="10"/>
                <c:pt idx="0">
                  <c:v>高等教育单位</c:v>
                </c:pt>
                <c:pt idx="1">
                  <c:v>继续深造</c:v>
                </c:pt>
                <c:pt idx="2">
                  <c:v>教育培训机构</c:v>
                </c:pt>
                <c:pt idx="3">
                  <c:v>其他类型企业</c:v>
                </c:pt>
                <c:pt idx="4">
                  <c:v>中小学</c:v>
                </c:pt>
                <c:pt idx="5">
                  <c:v>出国工作</c:v>
                </c:pt>
                <c:pt idx="6">
                  <c:v>事业单位</c:v>
                </c:pt>
                <c:pt idx="7">
                  <c:v>文化传媒企业</c:v>
                </c:pt>
                <c:pt idx="8">
                  <c:v>政府部门</c:v>
                </c:pt>
                <c:pt idx="9">
                  <c:v>自由职业</c:v>
                </c:pt>
              </c:strCache>
            </c:strRef>
          </c:cat>
          <c:val>
            <c:numRef>
              <c:f>'[【中文学院】汉教硕士数据集20220119.xls]Grad&amp;Empl'!$F$49:$F$58</c:f>
              <c:numCache>
                <c:formatCode>General</c:formatCode>
                <c:ptCount val="10"/>
                <c:pt idx="0">
                  <c:v>2</c:v>
                </c:pt>
                <c:pt idx="1">
                  <c:v>1</c:v>
                </c:pt>
                <c:pt idx="2">
                  <c:v>3</c:v>
                </c:pt>
                <c:pt idx="3">
                  <c:v>3</c:v>
                </c:pt>
                <c:pt idx="4">
                  <c:v>8</c:v>
                </c:pt>
                <c:pt idx="5">
                  <c:v>0</c:v>
                </c:pt>
                <c:pt idx="6">
                  <c:v>8</c:v>
                </c:pt>
                <c:pt idx="7">
                  <c:v>0</c:v>
                </c:pt>
                <c:pt idx="8">
                  <c:v>0</c:v>
                </c:pt>
                <c:pt idx="9">
                  <c:v>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egendEntry>
        <c:idx val="5"/>
        <c:delete val="1"/>
      </c:legendEntry>
      <c:legendEntry>
        <c:idx val="7"/>
        <c:delete val="1"/>
      </c:legendEntry>
      <c:legendEntry>
        <c:idx val="8"/>
        <c:delete val="1"/>
      </c:legendEntry>
      <c:layout>
        <c:manualLayout>
          <c:xMode val="edge"/>
          <c:yMode val="edge"/>
          <c:x val="0.00729927007299271"/>
          <c:y val="0.850693374866603"/>
          <c:w val="0.990405949256342"/>
          <c:h val="0.149306649168854"/>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[【中文学院】汉教硕士数据集20211210.xls]Grad&amp;Empl!数据透视表7</c:name>
    <c:fmtId val="-1"/>
  </c:pivotSource>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届汉硕生毕业去向分布</a:t>
            </a:r>
            <a:endParaRPr lang="zh-CN" altLang="en-US"/>
          </a:p>
        </c:rich>
      </c:tx>
      <c:layout>
        <c:manualLayout>
          <c:xMode val="edge"/>
          <c:yMode val="edge"/>
          <c:x val="0.280615586116568"/>
          <c:y val="0.0515463917525773"/>
        </c:manualLayout>
      </c:layout>
      <c:overlay val="0"/>
      <c:spPr>
        <a:noFill/>
        <a:ln w="25400">
          <a:noFill/>
        </a:ln>
      </c:spPr>
    </c:title>
    <c:autoTitleDeleted val="0"/>
    <c:plotArea>
      <c:layout/>
      <c:barChart>
        <c:barDir val="col"/>
        <c:grouping val="clustered"/>
        <c:varyColors val="0"/>
        <c:ser>
          <c:idx val="0"/>
          <c:order val="0"/>
          <c:tx>
            <c:strRef>
              <c:f>'Grad&amp;Empl'!$B$1:$B$2</c:f>
              <c:strCache>
                <c:ptCount val="1"/>
                <c:pt idx="0">
                  <c:v>汇总</c:v>
                </c:pt>
              </c:strCache>
            </c:strRef>
          </c:tx>
          <c:spPr>
            <a:solidFill>
              <a:srgbClr val="4F81BD"/>
            </a:solidFill>
            <a:ln w="25400">
              <a:noFill/>
            </a:ln>
          </c:spPr>
          <c:invertIfNegative val="0"/>
          <c:dLbls>
            <c:delete val="1"/>
          </c:dLbls>
          <c:cat>
            <c:strRef>
              <c:f>'Grad&amp;Empl'!$A$3:$A$8</c:f>
              <c:strCache>
                <c:ptCount val="6"/>
                <c:pt idx="0">
                  <c:v>高等教育单位</c:v>
                </c:pt>
                <c:pt idx="1">
                  <c:v>继续深造</c:v>
                </c:pt>
                <c:pt idx="2">
                  <c:v>教育培训机构</c:v>
                </c:pt>
                <c:pt idx="3">
                  <c:v>其他类型企业</c:v>
                </c:pt>
                <c:pt idx="4">
                  <c:v>中小学</c:v>
                </c:pt>
                <c:pt idx="5">
                  <c:v>(空白)</c:v>
                </c:pt>
              </c:strCache>
            </c:strRef>
          </c:cat>
          <c:val>
            <c:numRef>
              <c:f>'Grad&amp;Empl'!$B$3:$B$8</c:f>
              <c:numCache>
                <c:formatCode>General</c:formatCode>
                <c:ptCount val="6"/>
                <c:pt idx="0">
                  <c:v>4</c:v>
                </c:pt>
                <c:pt idx="1">
                  <c:v>1</c:v>
                </c:pt>
                <c:pt idx="2">
                  <c:v>1</c:v>
                </c:pt>
                <c:pt idx="3">
                  <c:v>1</c:v>
                </c:pt>
                <c:pt idx="4">
                  <c:v>4</c:v>
                </c:pt>
              </c:numCache>
            </c:numRef>
          </c:val>
        </c:ser>
        <c:dLbls>
          <c:showLegendKey val="0"/>
          <c:showVal val="0"/>
          <c:showCatName val="0"/>
          <c:showSerName val="0"/>
          <c:showPercent val="0"/>
          <c:showBubbleSize val="0"/>
        </c:dLbls>
        <c:gapWidth val="219"/>
        <c:overlap val="-27"/>
        <c:axId val="648266720"/>
        <c:axId val="648271200"/>
      </c:barChart>
      <c:catAx>
        <c:axId val="64826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271200"/>
        <c:crosses val="autoZero"/>
        <c:auto val="0"/>
        <c:lblAlgn val="ctr"/>
        <c:lblOffset val="100"/>
        <c:noMultiLvlLbl val="0"/>
      </c:catAx>
      <c:valAx>
        <c:axId val="648271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26672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b="1">
                <a:solidFill>
                  <a:sysClr val="windowText" lastClr="000000"/>
                </a:solidFill>
              </a:rPr>
              <a:t>2018—2022</a:t>
            </a:r>
            <a:r>
              <a:rPr lang="zh-CN" altLang="en-US" b="1">
                <a:solidFill>
                  <a:sysClr val="windowText" lastClr="000000"/>
                </a:solidFill>
              </a:rPr>
              <a:t>年汉语国际教育硕士</a:t>
            </a:r>
            <a:endParaRPr lang="en-US" altLang="zh-CN" b="1">
              <a:solidFill>
                <a:sysClr val="windowText" lastClr="000000"/>
              </a:solidFill>
            </a:endParaRPr>
          </a:p>
          <a:p>
            <a:pPr>
              <a:defRPr lang="zh-CN" sz="1400" b="0" i="0" u="none" strike="noStrike" kern="1200" spc="0" baseline="0">
                <a:solidFill>
                  <a:schemeClr val="tx1">
                    <a:lumMod val="65000"/>
                    <a:lumOff val="35000"/>
                  </a:schemeClr>
                </a:solidFill>
                <a:latin typeface="+mn-lt"/>
                <a:ea typeface="+mn-ea"/>
                <a:cs typeface="+mn-cs"/>
              </a:defRPr>
            </a:pPr>
            <a:r>
              <a:rPr lang="zh-CN" altLang="en-US" b="1">
                <a:solidFill>
                  <a:sysClr val="windowText" lastClr="000000"/>
                </a:solidFill>
              </a:rPr>
              <a:t>国际中文教师志愿者赴任海外国家分布</a:t>
            </a:r>
            <a:endParaRPr lang="zh-CN" altLang="en-US" b="1">
              <a:solidFill>
                <a:sysClr val="windowText" lastClr="000000"/>
              </a:solidFill>
            </a:endParaRPr>
          </a:p>
        </c:rich>
      </c:tx>
      <c:layout/>
      <c:overlay val="0"/>
      <c:spPr>
        <a:noFill/>
        <a:ln w="25400">
          <a:noFill/>
        </a:ln>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Pt>
            <c:idx val="16"/>
            <c:bubble3D val="0"/>
            <c:spPr>
              <a:solidFill>
                <a:schemeClr val="accent5">
                  <a:lumMod val="80000"/>
                  <a:lumOff val="20000"/>
                </a:schemeClr>
              </a:solidFill>
              <a:ln w="19050">
                <a:solidFill>
                  <a:schemeClr val="lt1"/>
                </a:solidFill>
              </a:ln>
              <a:effectLst/>
            </c:spPr>
          </c:dPt>
          <c:dPt>
            <c:idx val="17"/>
            <c:bubble3D val="0"/>
            <c:spPr>
              <a:solidFill>
                <a:schemeClr val="accent6">
                  <a:lumMod val="80000"/>
                  <a:lumOff val="20000"/>
                </a:schemeClr>
              </a:solidFill>
              <a:ln w="19050">
                <a:solidFill>
                  <a:schemeClr val="lt1"/>
                </a:solidFill>
              </a:ln>
              <a:effectLst/>
            </c:spPr>
          </c:dPt>
          <c:dPt>
            <c:idx val="18"/>
            <c:bubble3D val="0"/>
            <c:spPr>
              <a:solidFill>
                <a:schemeClr val="accent1">
                  <a:lumMod val="80000"/>
                </a:schemeClr>
              </a:solidFill>
              <a:ln w="19050">
                <a:solidFill>
                  <a:schemeClr val="lt1"/>
                </a:solidFill>
              </a:ln>
              <a:effectLst/>
            </c:spPr>
          </c:dPt>
          <c:dPt>
            <c:idx val="19"/>
            <c:bubble3D val="0"/>
            <c:spPr>
              <a:solidFill>
                <a:schemeClr val="accent2">
                  <a:lumMod val="80000"/>
                </a:schemeClr>
              </a:solidFill>
              <a:ln w="19050">
                <a:solidFill>
                  <a:schemeClr val="lt1"/>
                </a:solidFill>
              </a:ln>
              <a:effectLst/>
            </c:spPr>
          </c:dPt>
          <c:dPt>
            <c:idx val="20"/>
            <c:bubble3D val="0"/>
            <c:spPr>
              <a:solidFill>
                <a:schemeClr val="accent3">
                  <a:lumMod val="80000"/>
                </a:schemeClr>
              </a:solidFill>
              <a:ln w="19050">
                <a:solidFill>
                  <a:schemeClr val="lt1"/>
                </a:solidFill>
              </a:ln>
              <a:effectLst/>
            </c:spPr>
          </c:dPt>
          <c:dPt>
            <c:idx val="21"/>
            <c:bubble3D val="0"/>
            <c:spPr>
              <a:solidFill>
                <a:schemeClr val="accent4">
                  <a:lumMod val="80000"/>
                </a:schemeClr>
              </a:solidFill>
              <a:ln w="19050">
                <a:solidFill>
                  <a:schemeClr val="lt1"/>
                </a:solidFill>
              </a:ln>
              <a:effectLst/>
            </c:spPr>
          </c:dPt>
          <c:dPt>
            <c:idx val="22"/>
            <c:bubble3D val="0"/>
            <c:spPr>
              <a:solidFill>
                <a:schemeClr val="accent5">
                  <a:lumMod val="80000"/>
                </a:schemeClr>
              </a:solidFill>
              <a:ln w="19050">
                <a:solidFill>
                  <a:schemeClr val="lt1"/>
                </a:solidFill>
              </a:ln>
              <a:effectLst/>
            </c:spPr>
          </c:dPt>
          <c:dPt>
            <c:idx val="23"/>
            <c:bubble3D val="0"/>
            <c:spPr>
              <a:solidFill>
                <a:schemeClr val="accent6">
                  <a:lumMod val="80000"/>
                </a:schemeClr>
              </a:solidFill>
              <a:ln w="19050">
                <a:solidFill>
                  <a:schemeClr val="lt1"/>
                </a:solidFill>
              </a:ln>
              <a:effectLst/>
            </c:spPr>
          </c:dPt>
          <c:dPt>
            <c:idx val="24"/>
            <c:bubble3D val="0"/>
            <c:spPr>
              <a:solidFill>
                <a:schemeClr val="accent1">
                  <a:lumMod val="60000"/>
                  <a:lumOff val="40000"/>
                </a:schemeClr>
              </a:solidFill>
              <a:ln w="19050">
                <a:solidFill>
                  <a:schemeClr val="lt1"/>
                </a:solidFill>
              </a:ln>
              <a:effectLst/>
            </c:spPr>
          </c:dPt>
          <c:dPt>
            <c:idx val="25"/>
            <c:bubble3D val="0"/>
            <c:spPr>
              <a:solidFill>
                <a:schemeClr val="accent2">
                  <a:lumMod val="60000"/>
                  <a:lumOff val="40000"/>
                </a:schemeClr>
              </a:solidFill>
              <a:ln w="19050">
                <a:solidFill>
                  <a:schemeClr val="lt1"/>
                </a:solidFill>
              </a:ln>
              <a:effectLst/>
            </c:spPr>
          </c:dPt>
          <c:dLbls>
            <c:dLbl>
              <c:idx val="0"/>
              <c:layout>
                <c:manualLayout>
                  <c:x val="-0.00785094649238497"/>
                  <c:y val="0.004812844340403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9"/>
              <c:layout>
                <c:manualLayout>
                  <c:x val="-0.0269904197298721"/>
                  <c:y val="0.0051649287082357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8"/>
              <c:layout>
                <c:manualLayout>
                  <c:x val="0.00760893694258367"/>
                  <c:y val="-0.012254143907687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w="25400">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CountryDistrbution!$B$3:$B$28</c:f>
              <c:strCache>
                <c:ptCount val="26"/>
                <c:pt idx="0">
                  <c:v>韩国</c:v>
                </c:pt>
                <c:pt idx="1">
                  <c:v>马来西亚</c:v>
                </c:pt>
                <c:pt idx="2">
                  <c:v>老挝</c:v>
                </c:pt>
                <c:pt idx="3">
                  <c:v>印尼</c:v>
                </c:pt>
                <c:pt idx="4">
                  <c:v>斯里兰卡</c:v>
                </c:pt>
                <c:pt idx="5">
                  <c:v>泰国</c:v>
                </c:pt>
                <c:pt idx="6">
                  <c:v>格鲁吉亚</c:v>
                </c:pt>
                <c:pt idx="7">
                  <c:v>马来西亚</c:v>
                </c:pt>
                <c:pt idx="8">
                  <c:v>亚美尼亚</c:v>
                </c:pt>
                <c:pt idx="9">
                  <c:v>英国</c:v>
                </c:pt>
                <c:pt idx="10">
                  <c:v>爱尔兰</c:v>
                </c:pt>
                <c:pt idx="11">
                  <c:v>希腊</c:v>
                </c:pt>
                <c:pt idx="12">
                  <c:v>德国</c:v>
                </c:pt>
                <c:pt idx="13">
                  <c:v>匈牙利</c:v>
                </c:pt>
                <c:pt idx="14">
                  <c:v>保加利亚</c:v>
                </c:pt>
                <c:pt idx="15">
                  <c:v>罗马尼亚</c:v>
                </c:pt>
                <c:pt idx="16">
                  <c:v>波兰</c:v>
                </c:pt>
                <c:pt idx="17">
                  <c:v>黑山</c:v>
                </c:pt>
                <c:pt idx="18">
                  <c:v>美国</c:v>
                </c:pt>
                <c:pt idx="19">
                  <c:v>厄瓜多尔</c:v>
                </c:pt>
                <c:pt idx="20">
                  <c:v>苏里南</c:v>
                </c:pt>
                <c:pt idx="21">
                  <c:v>马拉维</c:v>
                </c:pt>
                <c:pt idx="22">
                  <c:v>莫桑比克</c:v>
                </c:pt>
                <c:pt idx="23">
                  <c:v>澳大利亚</c:v>
                </c:pt>
                <c:pt idx="24">
                  <c:v>新西兰</c:v>
                </c:pt>
                <c:pt idx="25">
                  <c:v>斐济</c:v>
                </c:pt>
              </c:strCache>
            </c:strRef>
          </c:cat>
          <c:val>
            <c:numRef>
              <c:f>CountryDistrbution!$C$3:$C$28</c:f>
              <c:numCache>
                <c:formatCode>General</c:formatCode>
                <c:ptCount val="26"/>
                <c:pt idx="0">
                  <c:v>21</c:v>
                </c:pt>
                <c:pt idx="1">
                  <c:v>1</c:v>
                </c:pt>
                <c:pt idx="2">
                  <c:v>1</c:v>
                </c:pt>
                <c:pt idx="3">
                  <c:v>1</c:v>
                </c:pt>
                <c:pt idx="4">
                  <c:v>1</c:v>
                </c:pt>
                <c:pt idx="5">
                  <c:v>9</c:v>
                </c:pt>
                <c:pt idx="6">
                  <c:v>2</c:v>
                </c:pt>
                <c:pt idx="7">
                  <c:v>1</c:v>
                </c:pt>
                <c:pt idx="8">
                  <c:v>1</c:v>
                </c:pt>
                <c:pt idx="9">
                  <c:v>23</c:v>
                </c:pt>
                <c:pt idx="10">
                  <c:v>3</c:v>
                </c:pt>
                <c:pt idx="11">
                  <c:v>7</c:v>
                </c:pt>
                <c:pt idx="12">
                  <c:v>1</c:v>
                </c:pt>
                <c:pt idx="13">
                  <c:v>1</c:v>
                </c:pt>
                <c:pt idx="14">
                  <c:v>1</c:v>
                </c:pt>
                <c:pt idx="15">
                  <c:v>1</c:v>
                </c:pt>
                <c:pt idx="16">
                  <c:v>1</c:v>
                </c:pt>
                <c:pt idx="17">
                  <c:v>1</c:v>
                </c:pt>
                <c:pt idx="18">
                  <c:v>14</c:v>
                </c:pt>
                <c:pt idx="19">
                  <c:v>1</c:v>
                </c:pt>
                <c:pt idx="20">
                  <c:v>1</c:v>
                </c:pt>
                <c:pt idx="21">
                  <c:v>3</c:v>
                </c:pt>
                <c:pt idx="22">
                  <c:v>1</c:v>
                </c:pt>
                <c:pt idx="23">
                  <c:v>2</c:v>
                </c:pt>
                <c:pt idx="24">
                  <c:v>3</c:v>
                </c:pt>
                <c:pt idx="25">
                  <c:v>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19260953736902"/>
          <c:y val="0.628879178060858"/>
          <c:w val="0.245048546634536"/>
          <c:h val="0.324031780058906"/>
        </c:manualLayout>
      </c:layout>
      <c:overlay val="0"/>
      <c:spPr>
        <a:noFill/>
        <a:ln w="25400">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DB705-054D-4A93-8ACE-4EE4D258370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1637</Words>
  <Characters>9337</Characters>
  <Lines>77</Lines>
  <Paragraphs>21</Paragraphs>
  <TotalTime>225</TotalTime>
  <ScaleCrop>false</ScaleCrop>
  <LinksUpToDate>false</LinksUpToDate>
  <CharactersWithSpaces>10953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2022-03-07T02:22:00Z</dcterms:created>
  <dc:creator>茫茫兔</dc:creator>
  <cp:lastModifiedBy>新颖</cp:lastModifiedBy>
  <cp:lastPrinted>2021-09-28T08:25:00Z</cp:lastPrinted>
  <dcterms:modified xsi:type="dcterms:W3CDTF">2023-12-22T02:32:24Z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074B82BC58914A49B736408A4FE1B18E</vt:lpwstr>
  </property>
</Properties>
</file>